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3B" w:rsidRPr="00D0078C" w:rsidRDefault="008113ED" w:rsidP="00B80DC5">
      <w:pPr>
        <w:spacing w:after="0"/>
        <w:rPr>
          <w:b/>
          <w:sz w:val="30"/>
          <w:szCs w:val="30"/>
        </w:rPr>
      </w:pPr>
      <w:r w:rsidRPr="00D0078C">
        <w:rPr>
          <w:b/>
          <w:sz w:val="30"/>
          <w:szCs w:val="30"/>
        </w:rPr>
        <w:t xml:space="preserve">Communications and Consultations Report to </w:t>
      </w:r>
      <w:r w:rsidR="000F0238" w:rsidRPr="00D0078C">
        <w:rPr>
          <w:b/>
          <w:sz w:val="30"/>
          <w:szCs w:val="30"/>
        </w:rPr>
        <w:t xml:space="preserve">TACTYC </w:t>
      </w:r>
      <w:r w:rsidR="00786CDE" w:rsidRPr="00D0078C">
        <w:rPr>
          <w:b/>
          <w:sz w:val="30"/>
          <w:szCs w:val="30"/>
        </w:rPr>
        <w:t>AGM, October</w:t>
      </w:r>
      <w:r w:rsidR="00FE3020" w:rsidRPr="00D0078C">
        <w:rPr>
          <w:b/>
          <w:sz w:val="30"/>
          <w:szCs w:val="30"/>
        </w:rPr>
        <w:t xml:space="preserve"> 2015</w:t>
      </w:r>
    </w:p>
    <w:p w:rsidR="00D0078C" w:rsidRDefault="00D0078C" w:rsidP="00B80DC5">
      <w:pPr>
        <w:spacing w:after="0"/>
        <w:rPr>
          <w:b/>
          <w:sz w:val="28"/>
        </w:rPr>
      </w:pPr>
    </w:p>
    <w:p w:rsidR="000F0238" w:rsidRDefault="000F0238" w:rsidP="00B80DC5">
      <w:pPr>
        <w:spacing w:after="0" w:line="240" w:lineRule="auto"/>
        <w:rPr>
          <w:b/>
          <w:sz w:val="24"/>
          <w:u w:val="single"/>
        </w:rPr>
      </w:pPr>
      <w:r w:rsidRPr="000F0238">
        <w:rPr>
          <w:b/>
          <w:sz w:val="28"/>
          <w:u w:val="single"/>
        </w:rPr>
        <w:t xml:space="preserve">TACTYC emails: </w:t>
      </w:r>
      <w:hyperlink r:id="rId6" w:history="1">
        <w:r w:rsidRPr="000F0238">
          <w:rPr>
            <w:rStyle w:val="Hyperlink"/>
            <w:b/>
            <w:sz w:val="28"/>
          </w:rPr>
          <w:t>tactyc.org@gmail.com</w:t>
        </w:r>
      </w:hyperlink>
    </w:p>
    <w:p w:rsidR="000F0238" w:rsidRPr="000F0238" w:rsidRDefault="000F0238" w:rsidP="00B80DC5">
      <w:pPr>
        <w:spacing w:after="0" w:line="240" w:lineRule="auto"/>
        <w:rPr>
          <w:b/>
          <w:sz w:val="6"/>
          <w:u w:val="single"/>
        </w:rPr>
      </w:pPr>
    </w:p>
    <w:p w:rsidR="009F2A39" w:rsidRPr="00D0078C" w:rsidRDefault="009F2A39" w:rsidP="000F0238">
      <w:pPr>
        <w:spacing w:after="0" w:line="240" w:lineRule="auto"/>
        <w:rPr>
          <w:b/>
          <w:sz w:val="24"/>
        </w:rPr>
      </w:pPr>
      <w:r w:rsidRPr="00D0078C">
        <w:rPr>
          <w:b/>
          <w:sz w:val="24"/>
        </w:rPr>
        <w:t>Members group email</w:t>
      </w:r>
      <w:r w:rsidR="00E374C6" w:rsidRPr="00D0078C">
        <w:rPr>
          <w:b/>
          <w:sz w:val="24"/>
        </w:rPr>
        <w:t>s</w:t>
      </w:r>
    </w:p>
    <w:p w:rsidR="00D636C5" w:rsidRDefault="001C5E86" w:rsidP="000F0238">
      <w:pPr>
        <w:spacing w:after="0" w:line="240" w:lineRule="auto"/>
        <w:rPr>
          <w:sz w:val="24"/>
        </w:rPr>
      </w:pPr>
      <w:r>
        <w:rPr>
          <w:sz w:val="24"/>
        </w:rPr>
        <w:t>Sending r</w:t>
      </w:r>
      <w:r w:rsidR="00786CDE">
        <w:rPr>
          <w:sz w:val="24"/>
        </w:rPr>
        <w:t>egular email</w:t>
      </w:r>
      <w:r>
        <w:rPr>
          <w:sz w:val="24"/>
        </w:rPr>
        <w:t xml:space="preserve"> updates</w:t>
      </w:r>
      <w:bookmarkStart w:id="0" w:name="_GoBack"/>
      <w:bookmarkEnd w:id="0"/>
      <w:r w:rsidR="00786CDE">
        <w:rPr>
          <w:sz w:val="24"/>
        </w:rPr>
        <w:t xml:space="preserve"> to all TACTYC members for whom we have email addresses</w:t>
      </w:r>
      <w:r w:rsidR="00D636C5">
        <w:rPr>
          <w:sz w:val="24"/>
        </w:rPr>
        <w:t xml:space="preserve"> is becoming an increasing important way for us to communicate with members</w:t>
      </w:r>
      <w:r w:rsidR="00786CDE">
        <w:rPr>
          <w:sz w:val="24"/>
        </w:rPr>
        <w:t xml:space="preserve">.  Maintaining an accurate contact list has continued to prove </w:t>
      </w:r>
      <w:r w:rsidR="00D636C5">
        <w:rPr>
          <w:sz w:val="24"/>
        </w:rPr>
        <w:t>challenging</w:t>
      </w:r>
      <w:r w:rsidR="00786CDE">
        <w:rPr>
          <w:sz w:val="24"/>
        </w:rPr>
        <w:t>, although with the support of our membership administrator we now have email contact</w:t>
      </w:r>
      <w:r w:rsidR="000F0238">
        <w:rPr>
          <w:sz w:val="24"/>
        </w:rPr>
        <w:t>s</w:t>
      </w:r>
      <w:r w:rsidR="00786CDE">
        <w:rPr>
          <w:sz w:val="24"/>
        </w:rPr>
        <w:t xml:space="preserve"> for 590 members.  </w:t>
      </w:r>
      <w:r w:rsidR="00D636C5">
        <w:rPr>
          <w:sz w:val="24"/>
        </w:rPr>
        <w:t xml:space="preserve">Under a new protocol we will contact members by mail where we do not have current email addresses, inviting them to provide an up-to-date email contact.  </w:t>
      </w:r>
      <w:proofErr w:type="gramStart"/>
      <w:r w:rsidR="00D636C5">
        <w:rPr>
          <w:sz w:val="24"/>
        </w:rPr>
        <w:t>Members</w:t>
      </w:r>
      <w:proofErr w:type="gramEnd"/>
      <w:r w:rsidR="00D636C5">
        <w:rPr>
          <w:sz w:val="24"/>
        </w:rPr>
        <w:t xml:space="preserve"> emails are sent in the week following each Executive Committee meeting, summarising main points of action and including other news and documents which will be of interest to members.  Additional emails sent on an occasional basis allow us to consult with members and communicate developments between Executive Committee meetings.</w:t>
      </w:r>
    </w:p>
    <w:p w:rsidR="00D636C5" w:rsidRPr="00D0078C" w:rsidRDefault="00D636C5" w:rsidP="000F0238">
      <w:pPr>
        <w:spacing w:after="0" w:line="240" w:lineRule="auto"/>
        <w:rPr>
          <w:sz w:val="12"/>
        </w:rPr>
      </w:pPr>
    </w:p>
    <w:p w:rsidR="00786CDE" w:rsidRPr="00D0078C" w:rsidRDefault="00D636C5" w:rsidP="000F0238">
      <w:pPr>
        <w:spacing w:after="0" w:line="240" w:lineRule="auto"/>
        <w:rPr>
          <w:b/>
          <w:sz w:val="24"/>
        </w:rPr>
      </w:pPr>
      <w:r w:rsidRPr="00D0078C">
        <w:rPr>
          <w:b/>
          <w:sz w:val="24"/>
        </w:rPr>
        <w:t xml:space="preserve">Local authority </w:t>
      </w:r>
      <w:r w:rsidR="000F0238" w:rsidRPr="00D0078C">
        <w:rPr>
          <w:b/>
          <w:sz w:val="24"/>
        </w:rPr>
        <w:t>circulation list</w:t>
      </w:r>
      <w:r w:rsidRPr="00D0078C">
        <w:rPr>
          <w:b/>
          <w:sz w:val="24"/>
        </w:rPr>
        <w:t xml:space="preserve"> </w:t>
      </w:r>
    </w:p>
    <w:p w:rsidR="00D636C5" w:rsidRPr="00D0078C" w:rsidRDefault="00D636C5" w:rsidP="000F0238">
      <w:pPr>
        <w:spacing w:after="0" w:line="240" w:lineRule="auto"/>
        <w:rPr>
          <w:sz w:val="24"/>
        </w:rPr>
      </w:pPr>
      <w:r w:rsidRPr="00D0078C">
        <w:rPr>
          <w:sz w:val="24"/>
        </w:rPr>
        <w:t>A group email list of colleagues supporting early years in local authorities has been developed, including individuals who have opted in to occasional updates about TACTYC’s work.  The email updates are generally sent in parallel with TACTYC members emails.</w:t>
      </w:r>
    </w:p>
    <w:p w:rsidR="000F0238" w:rsidRPr="00D0078C" w:rsidRDefault="000F0238" w:rsidP="000F0238">
      <w:pPr>
        <w:spacing w:after="0" w:line="240" w:lineRule="auto"/>
        <w:rPr>
          <w:sz w:val="10"/>
        </w:rPr>
      </w:pPr>
    </w:p>
    <w:p w:rsidR="000F0238" w:rsidRDefault="000F0238" w:rsidP="000F0238">
      <w:pPr>
        <w:spacing w:after="0" w:line="240" w:lineRule="auto"/>
        <w:rPr>
          <w:sz w:val="24"/>
        </w:rPr>
      </w:pPr>
      <w:r w:rsidRPr="00D0078C">
        <w:rPr>
          <w:b/>
          <w:sz w:val="24"/>
        </w:rPr>
        <w:t>Emails to Executive Committee</w:t>
      </w:r>
      <w:r w:rsidRPr="00D0078C">
        <w:rPr>
          <w:sz w:val="24"/>
        </w:rPr>
        <w:t xml:space="preserve">   Queries or contacts from members and the public which are sent to the TACTYC email address are ac</w:t>
      </w:r>
      <w:r>
        <w:rPr>
          <w:sz w:val="24"/>
        </w:rPr>
        <w:t>cessed by the Communications and Consultations Coordinator, and forwarded to the appropriate member of the Executive for response.  Although few in number, these emails are always very welcome as they provide feedback on current activities and keep us in touch with members’ concerns and work.</w:t>
      </w:r>
    </w:p>
    <w:p w:rsidR="000F0238" w:rsidRDefault="000F0238" w:rsidP="000F0238">
      <w:pPr>
        <w:spacing w:after="0" w:line="240" w:lineRule="auto"/>
        <w:rPr>
          <w:sz w:val="24"/>
        </w:rPr>
      </w:pPr>
    </w:p>
    <w:p w:rsidR="000F0238" w:rsidRPr="00D0078C" w:rsidRDefault="000F0238" w:rsidP="000F0238">
      <w:pPr>
        <w:spacing w:after="0" w:line="240" w:lineRule="auto"/>
        <w:rPr>
          <w:b/>
          <w:sz w:val="28"/>
        </w:rPr>
      </w:pPr>
      <w:r w:rsidRPr="00D0078C">
        <w:rPr>
          <w:b/>
          <w:sz w:val="28"/>
        </w:rPr>
        <w:t>Consultations, lobbying and calls for evidence</w:t>
      </w:r>
    </w:p>
    <w:p w:rsidR="00D0078C" w:rsidRDefault="000F0238" w:rsidP="000F0238">
      <w:pPr>
        <w:spacing w:after="0" w:line="240" w:lineRule="auto"/>
        <w:rPr>
          <w:sz w:val="24"/>
        </w:rPr>
      </w:pPr>
      <w:r>
        <w:rPr>
          <w:sz w:val="24"/>
        </w:rPr>
        <w:t xml:space="preserve">TACTYC is both proactive in lobbying through press releases and open letters, </w:t>
      </w:r>
      <w:r w:rsidR="00D0078C">
        <w:rPr>
          <w:sz w:val="24"/>
        </w:rPr>
        <w:t xml:space="preserve">and reactive in </w:t>
      </w:r>
      <w:r>
        <w:rPr>
          <w:sz w:val="24"/>
        </w:rPr>
        <w:t xml:space="preserve">responding to calls for evidence and consultations.  </w:t>
      </w:r>
      <w:r w:rsidR="00D0078C">
        <w:rPr>
          <w:sz w:val="24"/>
        </w:rPr>
        <w:t>D</w:t>
      </w:r>
      <w:r>
        <w:rPr>
          <w:sz w:val="24"/>
        </w:rPr>
        <w:t>raft responses and letters are circulated to the TACTYC Executive</w:t>
      </w:r>
      <w:r w:rsidR="00D0078C">
        <w:rPr>
          <w:sz w:val="24"/>
        </w:rPr>
        <w:t>,</w:t>
      </w:r>
      <w:r>
        <w:rPr>
          <w:sz w:val="24"/>
        </w:rPr>
        <w:t xml:space="preserve"> and the C &amp; C Coordinator </w:t>
      </w:r>
      <w:r w:rsidR="00D0078C">
        <w:rPr>
          <w:sz w:val="24"/>
        </w:rPr>
        <w:t xml:space="preserve">then </w:t>
      </w:r>
      <w:r>
        <w:rPr>
          <w:sz w:val="24"/>
        </w:rPr>
        <w:t>incorporates the range of contributions in compiling the final response.  Where time allows, members are asked for their contributions at draft stage, through a members email and on the website.</w:t>
      </w:r>
    </w:p>
    <w:p w:rsidR="00D0078C" w:rsidRDefault="00D0078C" w:rsidP="000F0238">
      <w:pPr>
        <w:spacing w:after="0" w:line="240" w:lineRule="auto"/>
        <w:rPr>
          <w:sz w:val="24"/>
        </w:rPr>
      </w:pPr>
    </w:p>
    <w:p w:rsidR="00786CDE" w:rsidRDefault="000F0238" w:rsidP="00B80DC5">
      <w:pPr>
        <w:spacing w:after="0" w:line="240" w:lineRule="auto"/>
        <w:rPr>
          <w:b/>
          <w:sz w:val="24"/>
          <w:u w:val="single"/>
        </w:rPr>
      </w:pPr>
      <w:r>
        <w:rPr>
          <w:sz w:val="24"/>
        </w:rPr>
        <w:t xml:space="preserve"> </w:t>
      </w:r>
      <w:r w:rsidR="001247CC">
        <w:rPr>
          <w:sz w:val="24"/>
        </w:rPr>
        <w:t>Responses this year include:</w:t>
      </w:r>
    </w:p>
    <w:p w:rsidR="004F7930" w:rsidRDefault="004F7930" w:rsidP="00B80DC5">
      <w:pPr>
        <w:shd w:val="clear" w:color="auto" w:fill="FFFFFF"/>
        <w:spacing w:after="0" w:line="240" w:lineRule="auto"/>
        <w:rPr>
          <w:sz w:val="20"/>
          <w:szCs w:val="20"/>
          <w:shd w:val="clear" w:color="auto" w:fill="FFFFFF"/>
        </w:rPr>
      </w:pPr>
    </w:p>
    <w:tbl>
      <w:tblPr>
        <w:tblStyle w:val="TableGrid1"/>
        <w:tblW w:w="9781" w:type="dxa"/>
        <w:tblInd w:w="108" w:type="dxa"/>
        <w:tblLook w:val="04A0" w:firstRow="1" w:lastRow="0" w:firstColumn="1" w:lastColumn="0" w:noHBand="0" w:noVBand="1"/>
      </w:tblPr>
      <w:tblGrid>
        <w:gridCol w:w="4536"/>
        <w:gridCol w:w="3402"/>
        <w:gridCol w:w="1843"/>
      </w:tblGrid>
      <w:tr w:rsidR="00D0078C" w:rsidRPr="001247CC" w:rsidTr="00D0078C">
        <w:tc>
          <w:tcPr>
            <w:tcW w:w="4536" w:type="dxa"/>
          </w:tcPr>
          <w:p w:rsidR="00D0078C" w:rsidRPr="001247CC" w:rsidRDefault="00D0078C" w:rsidP="00B80DC5">
            <w:pPr>
              <w:rPr>
                <w:rFonts w:ascii="Arial" w:hAnsi="Arial" w:cs="Arial"/>
                <w:sz w:val="24"/>
              </w:rPr>
            </w:pPr>
            <w:r w:rsidRPr="001247CC">
              <w:rPr>
                <w:b/>
                <w:sz w:val="28"/>
                <w:szCs w:val="20"/>
                <w:shd w:val="clear" w:color="auto" w:fill="FFFFFF"/>
              </w:rPr>
              <w:t>Consultations and evidence</w:t>
            </w:r>
          </w:p>
        </w:tc>
        <w:tc>
          <w:tcPr>
            <w:tcW w:w="3402" w:type="dxa"/>
          </w:tcPr>
          <w:p w:rsidR="00D0078C" w:rsidRPr="001247CC" w:rsidRDefault="00D0078C" w:rsidP="00B80DC5">
            <w:pPr>
              <w:jc w:val="center"/>
              <w:rPr>
                <w:rFonts w:ascii="Arial" w:hAnsi="Arial" w:cs="Arial"/>
                <w:sz w:val="20"/>
              </w:rPr>
            </w:pPr>
            <w:r w:rsidRPr="001247CC">
              <w:rPr>
                <w:rFonts w:ascii="Arial" w:hAnsi="Arial" w:cs="Arial"/>
                <w:sz w:val="20"/>
              </w:rPr>
              <w:t>Body</w:t>
            </w:r>
          </w:p>
        </w:tc>
        <w:tc>
          <w:tcPr>
            <w:tcW w:w="1843" w:type="dxa"/>
          </w:tcPr>
          <w:p w:rsidR="00D0078C" w:rsidRPr="001247CC" w:rsidRDefault="00D0078C" w:rsidP="00B80DC5">
            <w:pPr>
              <w:jc w:val="center"/>
              <w:rPr>
                <w:rFonts w:ascii="Arial" w:hAnsi="Arial" w:cs="Arial"/>
                <w:sz w:val="20"/>
              </w:rPr>
            </w:pPr>
            <w:r w:rsidRPr="001247CC">
              <w:rPr>
                <w:rFonts w:ascii="Arial" w:hAnsi="Arial" w:cs="Arial"/>
                <w:sz w:val="20"/>
              </w:rPr>
              <w:t>submitted</w:t>
            </w:r>
          </w:p>
        </w:tc>
      </w:tr>
      <w:tr w:rsidR="00BA6356" w:rsidRPr="001247CC" w:rsidTr="00D0078C">
        <w:tc>
          <w:tcPr>
            <w:tcW w:w="4536" w:type="dxa"/>
          </w:tcPr>
          <w:p w:rsidR="00BA6356" w:rsidRPr="001247CC" w:rsidRDefault="00BA6356" w:rsidP="00BA3653">
            <w:pPr>
              <w:rPr>
                <w:rFonts w:ascii="Arial" w:hAnsi="Arial" w:cs="Arial"/>
                <w:szCs w:val="20"/>
              </w:rPr>
            </w:pPr>
            <w:r w:rsidRPr="001247CC">
              <w:rPr>
                <w:rFonts w:ascii="Arial" w:hAnsi="Arial" w:cs="Arial"/>
                <w:szCs w:val="20"/>
              </w:rPr>
              <w:t>Better Inspection for All</w:t>
            </w:r>
          </w:p>
        </w:tc>
        <w:tc>
          <w:tcPr>
            <w:tcW w:w="3402" w:type="dxa"/>
          </w:tcPr>
          <w:p w:rsidR="00BA6356" w:rsidRPr="001247CC" w:rsidRDefault="00BA6356" w:rsidP="00D0078C">
            <w:pPr>
              <w:rPr>
                <w:rFonts w:ascii="Arial" w:hAnsi="Arial" w:cs="Arial"/>
              </w:rPr>
            </w:pPr>
            <w:r w:rsidRPr="001247CC">
              <w:rPr>
                <w:rFonts w:ascii="Arial" w:hAnsi="Arial" w:cs="Arial"/>
              </w:rPr>
              <w:t>Ofsted</w:t>
            </w:r>
          </w:p>
        </w:tc>
        <w:tc>
          <w:tcPr>
            <w:tcW w:w="1843" w:type="dxa"/>
          </w:tcPr>
          <w:p w:rsidR="00BA6356" w:rsidRPr="001247CC" w:rsidRDefault="00BA6356" w:rsidP="00BA3653">
            <w:pPr>
              <w:jc w:val="center"/>
              <w:rPr>
                <w:rFonts w:ascii="Arial" w:hAnsi="Arial" w:cs="Arial"/>
              </w:rPr>
            </w:pPr>
            <w:r w:rsidRPr="001247CC">
              <w:rPr>
                <w:rFonts w:ascii="Arial" w:hAnsi="Arial" w:cs="Arial"/>
              </w:rPr>
              <w:t>Dec 2014</w:t>
            </w:r>
          </w:p>
        </w:tc>
      </w:tr>
      <w:tr w:rsidR="00D0078C" w:rsidRPr="001247CC" w:rsidTr="00D0078C">
        <w:tc>
          <w:tcPr>
            <w:tcW w:w="4536" w:type="dxa"/>
          </w:tcPr>
          <w:p w:rsidR="00D0078C" w:rsidRPr="001247CC" w:rsidRDefault="00D0078C" w:rsidP="00BA3653">
            <w:pPr>
              <w:rPr>
                <w:rFonts w:ascii="Arial" w:hAnsi="Arial" w:cs="Arial"/>
              </w:rPr>
            </w:pPr>
            <w:r w:rsidRPr="001247CC">
              <w:rPr>
                <w:rFonts w:ascii="Arial" w:hAnsi="Arial" w:cs="Arial"/>
              </w:rPr>
              <w:t>Prevent Duty Guidance</w:t>
            </w:r>
          </w:p>
        </w:tc>
        <w:tc>
          <w:tcPr>
            <w:tcW w:w="3402" w:type="dxa"/>
          </w:tcPr>
          <w:p w:rsidR="00D0078C" w:rsidRPr="001247CC" w:rsidRDefault="00D0078C" w:rsidP="00D0078C">
            <w:pPr>
              <w:rPr>
                <w:rFonts w:ascii="Arial" w:hAnsi="Arial" w:cs="Arial"/>
              </w:rPr>
            </w:pPr>
            <w:r w:rsidRPr="001247CC">
              <w:rPr>
                <w:rFonts w:ascii="Arial" w:hAnsi="Arial" w:cs="Arial"/>
              </w:rPr>
              <w:t>HM Government</w:t>
            </w:r>
          </w:p>
        </w:tc>
        <w:tc>
          <w:tcPr>
            <w:tcW w:w="1843" w:type="dxa"/>
          </w:tcPr>
          <w:p w:rsidR="00D0078C" w:rsidRPr="001247CC" w:rsidRDefault="00D0078C" w:rsidP="00BA3653">
            <w:pPr>
              <w:jc w:val="center"/>
              <w:rPr>
                <w:rFonts w:ascii="Arial" w:hAnsi="Arial" w:cs="Arial"/>
              </w:rPr>
            </w:pPr>
            <w:r w:rsidRPr="001247CC">
              <w:rPr>
                <w:rFonts w:ascii="Arial" w:hAnsi="Arial" w:cs="Arial"/>
              </w:rPr>
              <w:t>Jan 15</w:t>
            </w:r>
          </w:p>
        </w:tc>
      </w:tr>
      <w:tr w:rsidR="00BA6356" w:rsidRPr="001247CC" w:rsidTr="00D0078C">
        <w:tc>
          <w:tcPr>
            <w:tcW w:w="4536" w:type="dxa"/>
          </w:tcPr>
          <w:p w:rsidR="00BA6356" w:rsidRPr="001247CC" w:rsidRDefault="00BA6356" w:rsidP="00373DD5">
            <w:pPr>
              <w:rPr>
                <w:rFonts w:ascii="Arial" w:hAnsi="Arial" w:cs="Arial"/>
                <w:szCs w:val="20"/>
              </w:rPr>
            </w:pPr>
            <w:r w:rsidRPr="001247CC">
              <w:rPr>
                <w:rFonts w:ascii="Arial" w:hAnsi="Arial" w:cs="Arial"/>
                <w:szCs w:val="20"/>
              </w:rPr>
              <w:t>Call for evidence on school entry</w:t>
            </w:r>
          </w:p>
        </w:tc>
        <w:tc>
          <w:tcPr>
            <w:tcW w:w="3402" w:type="dxa"/>
          </w:tcPr>
          <w:p w:rsidR="00BA6356" w:rsidRPr="001247CC" w:rsidRDefault="00BA6356" w:rsidP="00373DD5">
            <w:pPr>
              <w:rPr>
                <w:rFonts w:ascii="Arial" w:hAnsi="Arial" w:cs="Arial"/>
              </w:rPr>
            </w:pPr>
            <w:r w:rsidRPr="001247CC">
              <w:rPr>
                <w:rFonts w:ascii="Arial" w:hAnsi="Arial" w:cs="Arial"/>
              </w:rPr>
              <w:t>Education Select Committee</w:t>
            </w:r>
          </w:p>
        </w:tc>
        <w:tc>
          <w:tcPr>
            <w:tcW w:w="1843" w:type="dxa"/>
          </w:tcPr>
          <w:p w:rsidR="00BA6356" w:rsidRPr="001247CC" w:rsidRDefault="00BA6356" w:rsidP="00373DD5">
            <w:pPr>
              <w:jc w:val="center"/>
              <w:rPr>
                <w:rFonts w:ascii="Arial" w:hAnsi="Arial" w:cs="Arial"/>
              </w:rPr>
            </w:pPr>
            <w:r w:rsidRPr="001247CC">
              <w:rPr>
                <w:rFonts w:ascii="Arial" w:hAnsi="Arial" w:cs="Arial"/>
              </w:rPr>
              <w:t>Feb 2015</w:t>
            </w:r>
          </w:p>
        </w:tc>
      </w:tr>
      <w:tr w:rsidR="00BA6356" w:rsidRPr="001247CC" w:rsidTr="00D0078C">
        <w:tc>
          <w:tcPr>
            <w:tcW w:w="4536" w:type="dxa"/>
          </w:tcPr>
          <w:p w:rsidR="00BA6356" w:rsidRPr="001247CC" w:rsidRDefault="00BA6356" w:rsidP="00BA6356">
            <w:pPr>
              <w:rPr>
                <w:rFonts w:ascii="Arial" w:hAnsi="Arial" w:cs="Arial"/>
              </w:rPr>
            </w:pPr>
            <w:r w:rsidRPr="001247CC">
              <w:rPr>
                <w:rFonts w:ascii="Arial" w:hAnsi="Arial" w:cs="Arial"/>
                <w:bCs/>
              </w:rPr>
              <w:t>A world-class teaching profession</w:t>
            </w:r>
          </w:p>
        </w:tc>
        <w:tc>
          <w:tcPr>
            <w:tcW w:w="3402" w:type="dxa"/>
          </w:tcPr>
          <w:p w:rsidR="00BA6356" w:rsidRPr="001247CC" w:rsidRDefault="00BA6356" w:rsidP="00D0078C">
            <w:pPr>
              <w:rPr>
                <w:rFonts w:ascii="Arial" w:hAnsi="Arial" w:cs="Arial"/>
              </w:rPr>
            </w:pPr>
            <w:r w:rsidRPr="001247CC">
              <w:rPr>
                <w:rFonts w:ascii="Arial" w:hAnsi="Arial" w:cs="Arial"/>
              </w:rPr>
              <w:t>DfE</w:t>
            </w:r>
          </w:p>
        </w:tc>
        <w:tc>
          <w:tcPr>
            <w:tcW w:w="1843" w:type="dxa"/>
          </w:tcPr>
          <w:p w:rsidR="00BA6356" w:rsidRPr="001247CC" w:rsidRDefault="00BA6356" w:rsidP="00BA3653">
            <w:pPr>
              <w:jc w:val="center"/>
              <w:rPr>
                <w:rFonts w:ascii="Arial" w:hAnsi="Arial" w:cs="Arial"/>
              </w:rPr>
            </w:pPr>
            <w:r w:rsidRPr="001247CC">
              <w:rPr>
                <w:rFonts w:ascii="Arial" w:hAnsi="Arial" w:cs="Arial"/>
              </w:rPr>
              <w:t>Feb 2015</w:t>
            </w:r>
          </w:p>
        </w:tc>
      </w:tr>
      <w:tr w:rsidR="00BA6356" w:rsidRPr="001247CC" w:rsidTr="00D0078C">
        <w:tc>
          <w:tcPr>
            <w:tcW w:w="4536" w:type="dxa"/>
          </w:tcPr>
          <w:p w:rsidR="00BA6356" w:rsidRPr="001247CC" w:rsidRDefault="00BA6356" w:rsidP="00B80DC5">
            <w:pPr>
              <w:rPr>
                <w:rFonts w:ascii="Arial" w:hAnsi="Arial" w:cs="Arial"/>
              </w:rPr>
            </w:pPr>
            <w:r w:rsidRPr="001247CC">
              <w:rPr>
                <w:rFonts w:ascii="Arial" w:hAnsi="Arial" w:cs="Arial"/>
              </w:rPr>
              <w:t>Call for evidence on Children’s Centres</w:t>
            </w:r>
          </w:p>
        </w:tc>
        <w:tc>
          <w:tcPr>
            <w:tcW w:w="3402" w:type="dxa"/>
          </w:tcPr>
          <w:p w:rsidR="00BA6356" w:rsidRPr="001247CC" w:rsidRDefault="00BA6356" w:rsidP="00D0078C">
            <w:pPr>
              <w:rPr>
                <w:rFonts w:ascii="Arial" w:hAnsi="Arial" w:cs="Arial"/>
              </w:rPr>
            </w:pPr>
            <w:r w:rsidRPr="001247CC">
              <w:rPr>
                <w:rFonts w:ascii="Arial" w:hAnsi="Arial" w:cs="Arial"/>
              </w:rPr>
              <w:t>Education Select Committee</w:t>
            </w:r>
          </w:p>
        </w:tc>
        <w:tc>
          <w:tcPr>
            <w:tcW w:w="1843" w:type="dxa"/>
          </w:tcPr>
          <w:p w:rsidR="00BA6356" w:rsidRPr="001247CC" w:rsidRDefault="00BA6356" w:rsidP="00B80DC5">
            <w:pPr>
              <w:jc w:val="center"/>
              <w:rPr>
                <w:rFonts w:ascii="Arial" w:hAnsi="Arial" w:cs="Arial"/>
              </w:rPr>
            </w:pPr>
            <w:r w:rsidRPr="001247CC">
              <w:rPr>
                <w:rFonts w:ascii="Arial" w:hAnsi="Arial" w:cs="Arial"/>
              </w:rPr>
              <w:t>March 2015</w:t>
            </w:r>
          </w:p>
        </w:tc>
      </w:tr>
      <w:tr w:rsidR="00BA6356" w:rsidRPr="001247CC" w:rsidTr="00D0078C">
        <w:tc>
          <w:tcPr>
            <w:tcW w:w="4536" w:type="dxa"/>
          </w:tcPr>
          <w:p w:rsidR="00BA6356" w:rsidRPr="001247CC" w:rsidRDefault="00BA6356" w:rsidP="00B80DC5">
            <w:pPr>
              <w:rPr>
                <w:rFonts w:ascii="Arial" w:hAnsi="Arial" w:cs="Arial"/>
              </w:rPr>
            </w:pPr>
            <w:r w:rsidRPr="001247CC">
              <w:rPr>
                <w:rFonts w:ascii="Arial" w:eastAsia="Calibri" w:hAnsi="Arial" w:cs="Arial"/>
                <w:lang w:val="en-US"/>
              </w:rPr>
              <w:t>Teachers' Professional Development Expert Group call for evidence</w:t>
            </w:r>
          </w:p>
        </w:tc>
        <w:tc>
          <w:tcPr>
            <w:tcW w:w="3402" w:type="dxa"/>
          </w:tcPr>
          <w:p w:rsidR="00BA6356" w:rsidRPr="001247CC" w:rsidRDefault="00BA6356" w:rsidP="00D0078C">
            <w:pPr>
              <w:rPr>
                <w:rFonts w:ascii="Arial" w:hAnsi="Arial" w:cs="Arial"/>
              </w:rPr>
            </w:pPr>
            <w:r w:rsidRPr="001247CC">
              <w:rPr>
                <w:rFonts w:ascii="Arial" w:hAnsi="Arial" w:cs="Arial"/>
              </w:rPr>
              <w:t>DfE</w:t>
            </w:r>
          </w:p>
        </w:tc>
        <w:tc>
          <w:tcPr>
            <w:tcW w:w="1843" w:type="dxa"/>
          </w:tcPr>
          <w:p w:rsidR="00BA6356" w:rsidRPr="001247CC" w:rsidRDefault="00BA6356" w:rsidP="00B80DC5">
            <w:pPr>
              <w:jc w:val="center"/>
              <w:rPr>
                <w:rFonts w:ascii="Arial" w:hAnsi="Arial" w:cs="Arial"/>
              </w:rPr>
            </w:pPr>
            <w:r w:rsidRPr="001247CC">
              <w:rPr>
                <w:rFonts w:ascii="Arial" w:hAnsi="Arial" w:cs="Arial"/>
              </w:rPr>
              <w:t>October 2015</w:t>
            </w:r>
          </w:p>
        </w:tc>
      </w:tr>
    </w:tbl>
    <w:p w:rsidR="0011584C" w:rsidRDefault="0011584C" w:rsidP="00B80DC5">
      <w:pPr>
        <w:shd w:val="clear" w:color="auto" w:fill="FFFFFF"/>
        <w:spacing w:after="0" w:line="240" w:lineRule="auto"/>
        <w:rPr>
          <w:bCs/>
        </w:rPr>
      </w:pPr>
    </w:p>
    <w:p w:rsidR="001247CC" w:rsidRPr="001247CC" w:rsidRDefault="001247CC" w:rsidP="00B80DC5">
      <w:pPr>
        <w:shd w:val="clear" w:color="auto" w:fill="FFFFFF"/>
        <w:spacing w:after="0" w:line="240" w:lineRule="auto"/>
        <w:rPr>
          <w:rFonts w:ascii="Arial" w:hAnsi="Arial" w:cs="Arial"/>
          <w:bCs/>
        </w:rPr>
      </w:pPr>
      <w:r w:rsidRPr="001247CC">
        <w:rPr>
          <w:rFonts w:ascii="Arial" w:hAnsi="Arial" w:cs="Arial"/>
          <w:bCs/>
        </w:rPr>
        <w:t xml:space="preserve">We have also been active in campaigning to </w:t>
      </w:r>
      <w:r>
        <w:rPr>
          <w:rFonts w:ascii="Arial" w:hAnsi="Arial" w:cs="Arial"/>
          <w:bCs/>
        </w:rPr>
        <w:t xml:space="preserve">halt baseline assessment in reception classes, producing both independently and in conjunction with Better </w:t>
      </w:r>
      <w:proofErr w:type="gramStart"/>
      <w:r>
        <w:rPr>
          <w:rFonts w:ascii="Arial" w:hAnsi="Arial" w:cs="Arial"/>
          <w:bCs/>
        </w:rPr>
        <w:t>Without</w:t>
      </w:r>
      <w:proofErr w:type="gramEnd"/>
      <w:r>
        <w:rPr>
          <w:rFonts w:ascii="Arial" w:hAnsi="Arial" w:cs="Arial"/>
          <w:bCs/>
        </w:rPr>
        <w:t xml:space="preserve"> Baseline colleagues:  leaflets, press releases, open letter to ministers, FAQ for </w:t>
      </w:r>
      <w:proofErr w:type="spellStart"/>
      <w:r>
        <w:rPr>
          <w:rFonts w:ascii="Arial" w:hAnsi="Arial" w:cs="Arial"/>
          <w:bCs/>
        </w:rPr>
        <w:t>Netmums</w:t>
      </w:r>
      <w:proofErr w:type="spellEnd"/>
      <w:r>
        <w:rPr>
          <w:rFonts w:ascii="Arial" w:hAnsi="Arial" w:cs="Arial"/>
          <w:bCs/>
        </w:rPr>
        <w:t xml:space="preserve">, guidance on the available schemes, commentary on the </w:t>
      </w:r>
      <w:proofErr w:type="spellStart"/>
      <w:r>
        <w:rPr>
          <w:rFonts w:ascii="Arial" w:hAnsi="Arial" w:cs="Arial"/>
          <w:bCs/>
        </w:rPr>
        <w:t>EExBA</w:t>
      </w:r>
      <w:proofErr w:type="spellEnd"/>
      <w:r>
        <w:rPr>
          <w:rFonts w:ascii="Arial" w:hAnsi="Arial" w:cs="Arial"/>
          <w:bCs/>
        </w:rPr>
        <w:t xml:space="preserve"> scheme, letters to professional press.  We have also produced letters to ministers and </w:t>
      </w:r>
      <w:r w:rsidR="00C91436">
        <w:rPr>
          <w:rFonts w:ascii="Arial" w:hAnsi="Arial" w:cs="Arial"/>
          <w:bCs/>
        </w:rPr>
        <w:t>MPs covering a wider range of issues of concern to TACTYC.</w:t>
      </w:r>
    </w:p>
    <w:sectPr w:rsidR="001247CC" w:rsidRPr="001247CC" w:rsidSect="001247CC">
      <w:pgSz w:w="11906" w:h="16838"/>
      <w:pgMar w:top="1276"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270"/>
    <w:multiLevelType w:val="hybridMultilevel"/>
    <w:tmpl w:val="7CB0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60F2A"/>
    <w:multiLevelType w:val="hybridMultilevel"/>
    <w:tmpl w:val="C240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F466F"/>
    <w:multiLevelType w:val="multilevel"/>
    <w:tmpl w:val="BF6C2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914C9"/>
    <w:multiLevelType w:val="multilevel"/>
    <w:tmpl w:val="297844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BB97149"/>
    <w:multiLevelType w:val="hybridMultilevel"/>
    <w:tmpl w:val="9D5EC0AC"/>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5">
    <w:nsid w:val="3F846F52"/>
    <w:multiLevelType w:val="hybridMultilevel"/>
    <w:tmpl w:val="C1405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827922"/>
    <w:multiLevelType w:val="multilevel"/>
    <w:tmpl w:val="C414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03744"/>
    <w:multiLevelType w:val="multilevel"/>
    <w:tmpl w:val="F7C6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93DFB"/>
    <w:multiLevelType w:val="multilevel"/>
    <w:tmpl w:val="30C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ED"/>
    <w:rsid w:val="00000949"/>
    <w:rsid w:val="0004089E"/>
    <w:rsid w:val="00093C4A"/>
    <w:rsid w:val="000F0238"/>
    <w:rsid w:val="0010045C"/>
    <w:rsid w:val="00104E41"/>
    <w:rsid w:val="00111D6B"/>
    <w:rsid w:val="0011584C"/>
    <w:rsid w:val="00122B3E"/>
    <w:rsid w:val="001247CC"/>
    <w:rsid w:val="00142B72"/>
    <w:rsid w:val="0015018A"/>
    <w:rsid w:val="00176517"/>
    <w:rsid w:val="00194E74"/>
    <w:rsid w:val="001A6C65"/>
    <w:rsid w:val="001A73AF"/>
    <w:rsid w:val="001B54E1"/>
    <w:rsid w:val="001C5E86"/>
    <w:rsid w:val="001E345F"/>
    <w:rsid w:val="001F2C5B"/>
    <w:rsid w:val="00212366"/>
    <w:rsid w:val="002224DB"/>
    <w:rsid w:val="002E2F28"/>
    <w:rsid w:val="003461A9"/>
    <w:rsid w:val="00363580"/>
    <w:rsid w:val="003B395E"/>
    <w:rsid w:val="003F0650"/>
    <w:rsid w:val="00417224"/>
    <w:rsid w:val="00476B06"/>
    <w:rsid w:val="004D0AE4"/>
    <w:rsid w:val="004D712E"/>
    <w:rsid w:val="004E5B82"/>
    <w:rsid w:val="004F7930"/>
    <w:rsid w:val="00506768"/>
    <w:rsid w:val="0052418C"/>
    <w:rsid w:val="00551F84"/>
    <w:rsid w:val="0057165B"/>
    <w:rsid w:val="00582D68"/>
    <w:rsid w:val="005A2DA2"/>
    <w:rsid w:val="005D5EBE"/>
    <w:rsid w:val="005E4014"/>
    <w:rsid w:val="00610B75"/>
    <w:rsid w:val="006312FC"/>
    <w:rsid w:val="00637A24"/>
    <w:rsid w:val="006B45C6"/>
    <w:rsid w:val="006D6D20"/>
    <w:rsid w:val="006F75D8"/>
    <w:rsid w:val="00701A70"/>
    <w:rsid w:val="00725974"/>
    <w:rsid w:val="00740F05"/>
    <w:rsid w:val="007521D0"/>
    <w:rsid w:val="00786CDE"/>
    <w:rsid w:val="007A1286"/>
    <w:rsid w:val="007A283B"/>
    <w:rsid w:val="007B0596"/>
    <w:rsid w:val="007E6954"/>
    <w:rsid w:val="007E7C92"/>
    <w:rsid w:val="008113ED"/>
    <w:rsid w:val="00832792"/>
    <w:rsid w:val="00847CF3"/>
    <w:rsid w:val="00877287"/>
    <w:rsid w:val="00893003"/>
    <w:rsid w:val="008B6551"/>
    <w:rsid w:val="009200D0"/>
    <w:rsid w:val="00952525"/>
    <w:rsid w:val="009A43E9"/>
    <w:rsid w:val="009B5B3F"/>
    <w:rsid w:val="009C1F55"/>
    <w:rsid w:val="009E41A5"/>
    <w:rsid w:val="009F2A39"/>
    <w:rsid w:val="00A20758"/>
    <w:rsid w:val="00A53E2C"/>
    <w:rsid w:val="00AB256B"/>
    <w:rsid w:val="00B06262"/>
    <w:rsid w:val="00B646FA"/>
    <w:rsid w:val="00B80DC5"/>
    <w:rsid w:val="00BA6356"/>
    <w:rsid w:val="00BB3265"/>
    <w:rsid w:val="00BC6E36"/>
    <w:rsid w:val="00BF67C3"/>
    <w:rsid w:val="00BF7525"/>
    <w:rsid w:val="00C03554"/>
    <w:rsid w:val="00C55078"/>
    <w:rsid w:val="00C572BF"/>
    <w:rsid w:val="00C67ED3"/>
    <w:rsid w:val="00C91436"/>
    <w:rsid w:val="00C96EEE"/>
    <w:rsid w:val="00CD00A3"/>
    <w:rsid w:val="00CD5073"/>
    <w:rsid w:val="00D0078C"/>
    <w:rsid w:val="00D356D1"/>
    <w:rsid w:val="00D636C5"/>
    <w:rsid w:val="00D8173F"/>
    <w:rsid w:val="00DA0CEA"/>
    <w:rsid w:val="00E3008C"/>
    <w:rsid w:val="00E3664B"/>
    <w:rsid w:val="00E374C6"/>
    <w:rsid w:val="00E450CD"/>
    <w:rsid w:val="00E57A3D"/>
    <w:rsid w:val="00E60A6A"/>
    <w:rsid w:val="00E80E1C"/>
    <w:rsid w:val="00EA5F33"/>
    <w:rsid w:val="00F05C45"/>
    <w:rsid w:val="00F16DF2"/>
    <w:rsid w:val="00F224BF"/>
    <w:rsid w:val="00F25A59"/>
    <w:rsid w:val="00F5585E"/>
    <w:rsid w:val="00F55AB3"/>
    <w:rsid w:val="00F71554"/>
    <w:rsid w:val="00FB7C54"/>
    <w:rsid w:val="00FE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113ED"/>
  </w:style>
  <w:style w:type="character" w:customStyle="1" w:styleId="apple-converted-space">
    <w:name w:val="apple-converted-space"/>
    <w:basedOn w:val="DefaultParagraphFont"/>
    <w:rsid w:val="008113ED"/>
  </w:style>
  <w:style w:type="paragraph" w:styleId="ListParagraph">
    <w:name w:val="List Paragraph"/>
    <w:basedOn w:val="Normal"/>
    <w:uiPriority w:val="34"/>
    <w:qFormat/>
    <w:rsid w:val="004F7930"/>
    <w:pPr>
      <w:ind w:left="720"/>
      <w:contextualSpacing/>
    </w:pPr>
  </w:style>
  <w:style w:type="table" w:styleId="TableGrid">
    <w:name w:val="Table Grid"/>
    <w:basedOn w:val="TableNormal"/>
    <w:uiPriority w:val="59"/>
    <w:rsid w:val="004F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D6B"/>
    <w:rPr>
      <w:color w:val="0000FF" w:themeColor="hyperlink"/>
      <w:u w:val="single"/>
    </w:rPr>
  </w:style>
  <w:style w:type="table" w:customStyle="1" w:styleId="TableGrid1">
    <w:name w:val="Table Grid1"/>
    <w:basedOn w:val="TableNormal"/>
    <w:next w:val="TableGrid"/>
    <w:uiPriority w:val="59"/>
    <w:rsid w:val="001A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113ED"/>
  </w:style>
  <w:style w:type="character" w:customStyle="1" w:styleId="apple-converted-space">
    <w:name w:val="apple-converted-space"/>
    <w:basedOn w:val="DefaultParagraphFont"/>
    <w:rsid w:val="008113ED"/>
  </w:style>
  <w:style w:type="paragraph" w:styleId="ListParagraph">
    <w:name w:val="List Paragraph"/>
    <w:basedOn w:val="Normal"/>
    <w:uiPriority w:val="34"/>
    <w:qFormat/>
    <w:rsid w:val="004F7930"/>
    <w:pPr>
      <w:ind w:left="720"/>
      <w:contextualSpacing/>
    </w:pPr>
  </w:style>
  <w:style w:type="table" w:styleId="TableGrid">
    <w:name w:val="Table Grid"/>
    <w:basedOn w:val="TableNormal"/>
    <w:uiPriority w:val="59"/>
    <w:rsid w:val="004F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D6B"/>
    <w:rPr>
      <w:color w:val="0000FF" w:themeColor="hyperlink"/>
      <w:u w:val="single"/>
    </w:rPr>
  </w:style>
  <w:style w:type="table" w:customStyle="1" w:styleId="TableGrid1">
    <w:name w:val="Table Grid1"/>
    <w:basedOn w:val="TableNormal"/>
    <w:next w:val="TableGrid"/>
    <w:uiPriority w:val="59"/>
    <w:rsid w:val="001A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509">
      <w:bodyDiv w:val="1"/>
      <w:marLeft w:val="0"/>
      <w:marRight w:val="0"/>
      <w:marTop w:val="0"/>
      <w:marBottom w:val="0"/>
      <w:divBdr>
        <w:top w:val="none" w:sz="0" w:space="0" w:color="auto"/>
        <w:left w:val="none" w:sz="0" w:space="0" w:color="auto"/>
        <w:bottom w:val="none" w:sz="0" w:space="0" w:color="auto"/>
        <w:right w:val="none" w:sz="0" w:space="0" w:color="auto"/>
      </w:divBdr>
      <w:divsChild>
        <w:div w:id="982931913">
          <w:marLeft w:val="0"/>
          <w:marRight w:val="0"/>
          <w:marTop w:val="0"/>
          <w:marBottom w:val="0"/>
          <w:divBdr>
            <w:top w:val="none" w:sz="0" w:space="0" w:color="auto"/>
            <w:left w:val="none" w:sz="0" w:space="0" w:color="auto"/>
            <w:bottom w:val="none" w:sz="0" w:space="0" w:color="auto"/>
            <w:right w:val="none" w:sz="0" w:space="0" w:color="auto"/>
          </w:divBdr>
        </w:div>
        <w:div w:id="573049766">
          <w:marLeft w:val="0"/>
          <w:marRight w:val="0"/>
          <w:marTop w:val="0"/>
          <w:marBottom w:val="0"/>
          <w:divBdr>
            <w:top w:val="none" w:sz="0" w:space="0" w:color="auto"/>
            <w:left w:val="none" w:sz="0" w:space="0" w:color="auto"/>
            <w:bottom w:val="none" w:sz="0" w:space="0" w:color="auto"/>
            <w:right w:val="none" w:sz="0" w:space="0" w:color="auto"/>
          </w:divBdr>
        </w:div>
        <w:div w:id="675615320">
          <w:marLeft w:val="0"/>
          <w:marRight w:val="0"/>
          <w:marTop w:val="0"/>
          <w:marBottom w:val="0"/>
          <w:divBdr>
            <w:top w:val="none" w:sz="0" w:space="0" w:color="auto"/>
            <w:left w:val="none" w:sz="0" w:space="0" w:color="auto"/>
            <w:bottom w:val="none" w:sz="0" w:space="0" w:color="auto"/>
            <w:right w:val="none" w:sz="0" w:space="0" w:color="auto"/>
          </w:divBdr>
          <w:divsChild>
            <w:div w:id="2095852475">
              <w:marLeft w:val="0"/>
              <w:marRight w:val="0"/>
              <w:marTop w:val="0"/>
              <w:marBottom w:val="0"/>
              <w:divBdr>
                <w:top w:val="none" w:sz="0" w:space="0" w:color="auto"/>
                <w:left w:val="none" w:sz="0" w:space="0" w:color="auto"/>
                <w:bottom w:val="none" w:sz="0" w:space="0" w:color="auto"/>
                <w:right w:val="none" w:sz="0" w:space="0" w:color="auto"/>
              </w:divBdr>
            </w:div>
          </w:divsChild>
        </w:div>
        <w:div w:id="969749073">
          <w:marLeft w:val="0"/>
          <w:marRight w:val="0"/>
          <w:marTop w:val="0"/>
          <w:marBottom w:val="0"/>
          <w:divBdr>
            <w:top w:val="none" w:sz="0" w:space="0" w:color="auto"/>
            <w:left w:val="none" w:sz="0" w:space="0" w:color="auto"/>
            <w:bottom w:val="none" w:sz="0" w:space="0" w:color="auto"/>
            <w:right w:val="none" w:sz="0" w:space="0" w:color="auto"/>
          </w:divBdr>
        </w:div>
        <w:div w:id="1410418512">
          <w:marLeft w:val="0"/>
          <w:marRight w:val="0"/>
          <w:marTop w:val="0"/>
          <w:marBottom w:val="0"/>
          <w:divBdr>
            <w:top w:val="none" w:sz="0" w:space="0" w:color="auto"/>
            <w:left w:val="none" w:sz="0" w:space="0" w:color="auto"/>
            <w:bottom w:val="none" w:sz="0" w:space="0" w:color="auto"/>
            <w:right w:val="none" w:sz="0" w:space="0" w:color="auto"/>
          </w:divBdr>
        </w:div>
        <w:div w:id="1936131380">
          <w:marLeft w:val="0"/>
          <w:marRight w:val="0"/>
          <w:marTop w:val="0"/>
          <w:marBottom w:val="0"/>
          <w:divBdr>
            <w:top w:val="none" w:sz="0" w:space="0" w:color="auto"/>
            <w:left w:val="none" w:sz="0" w:space="0" w:color="auto"/>
            <w:bottom w:val="none" w:sz="0" w:space="0" w:color="auto"/>
            <w:right w:val="none" w:sz="0" w:space="0" w:color="auto"/>
          </w:divBdr>
        </w:div>
        <w:div w:id="525871500">
          <w:marLeft w:val="0"/>
          <w:marRight w:val="0"/>
          <w:marTop w:val="0"/>
          <w:marBottom w:val="0"/>
          <w:divBdr>
            <w:top w:val="none" w:sz="0" w:space="0" w:color="auto"/>
            <w:left w:val="none" w:sz="0" w:space="0" w:color="auto"/>
            <w:bottom w:val="none" w:sz="0" w:space="0" w:color="auto"/>
            <w:right w:val="none" w:sz="0" w:space="0" w:color="auto"/>
          </w:divBdr>
        </w:div>
        <w:div w:id="89739390">
          <w:marLeft w:val="0"/>
          <w:marRight w:val="0"/>
          <w:marTop w:val="0"/>
          <w:marBottom w:val="0"/>
          <w:divBdr>
            <w:top w:val="none" w:sz="0" w:space="0" w:color="auto"/>
            <w:left w:val="none" w:sz="0" w:space="0" w:color="auto"/>
            <w:bottom w:val="none" w:sz="0" w:space="0" w:color="auto"/>
            <w:right w:val="none" w:sz="0" w:space="0" w:color="auto"/>
          </w:divBdr>
        </w:div>
        <w:div w:id="482311554">
          <w:marLeft w:val="0"/>
          <w:marRight w:val="0"/>
          <w:marTop w:val="0"/>
          <w:marBottom w:val="0"/>
          <w:divBdr>
            <w:top w:val="none" w:sz="0" w:space="0" w:color="auto"/>
            <w:left w:val="none" w:sz="0" w:space="0" w:color="auto"/>
            <w:bottom w:val="none" w:sz="0" w:space="0" w:color="auto"/>
            <w:right w:val="none" w:sz="0" w:space="0" w:color="auto"/>
          </w:divBdr>
        </w:div>
      </w:divsChild>
    </w:div>
    <w:div w:id="257981857">
      <w:bodyDiv w:val="1"/>
      <w:marLeft w:val="0"/>
      <w:marRight w:val="0"/>
      <w:marTop w:val="0"/>
      <w:marBottom w:val="0"/>
      <w:divBdr>
        <w:top w:val="none" w:sz="0" w:space="0" w:color="auto"/>
        <w:left w:val="none" w:sz="0" w:space="0" w:color="auto"/>
        <w:bottom w:val="none" w:sz="0" w:space="0" w:color="auto"/>
        <w:right w:val="none" w:sz="0" w:space="0" w:color="auto"/>
      </w:divBdr>
    </w:div>
    <w:div w:id="295305809">
      <w:bodyDiv w:val="1"/>
      <w:marLeft w:val="0"/>
      <w:marRight w:val="0"/>
      <w:marTop w:val="0"/>
      <w:marBottom w:val="0"/>
      <w:divBdr>
        <w:top w:val="none" w:sz="0" w:space="0" w:color="auto"/>
        <w:left w:val="none" w:sz="0" w:space="0" w:color="auto"/>
        <w:bottom w:val="none" w:sz="0" w:space="0" w:color="auto"/>
        <w:right w:val="none" w:sz="0" w:space="0" w:color="auto"/>
      </w:divBdr>
      <w:divsChild>
        <w:div w:id="288433750">
          <w:marLeft w:val="0"/>
          <w:marRight w:val="0"/>
          <w:marTop w:val="0"/>
          <w:marBottom w:val="0"/>
          <w:divBdr>
            <w:top w:val="none" w:sz="0" w:space="0" w:color="auto"/>
            <w:left w:val="none" w:sz="0" w:space="0" w:color="auto"/>
            <w:bottom w:val="none" w:sz="0" w:space="0" w:color="auto"/>
            <w:right w:val="none" w:sz="0" w:space="0" w:color="auto"/>
          </w:divBdr>
        </w:div>
        <w:div w:id="1088893305">
          <w:marLeft w:val="0"/>
          <w:marRight w:val="0"/>
          <w:marTop w:val="0"/>
          <w:marBottom w:val="0"/>
          <w:divBdr>
            <w:top w:val="none" w:sz="0" w:space="0" w:color="auto"/>
            <w:left w:val="none" w:sz="0" w:space="0" w:color="auto"/>
            <w:bottom w:val="none" w:sz="0" w:space="0" w:color="auto"/>
            <w:right w:val="none" w:sz="0" w:space="0" w:color="auto"/>
          </w:divBdr>
        </w:div>
      </w:divsChild>
    </w:div>
    <w:div w:id="562719424">
      <w:bodyDiv w:val="1"/>
      <w:marLeft w:val="0"/>
      <w:marRight w:val="0"/>
      <w:marTop w:val="0"/>
      <w:marBottom w:val="0"/>
      <w:divBdr>
        <w:top w:val="none" w:sz="0" w:space="0" w:color="auto"/>
        <w:left w:val="none" w:sz="0" w:space="0" w:color="auto"/>
        <w:bottom w:val="none" w:sz="0" w:space="0" w:color="auto"/>
        <w:right w:val="none" w:sz="0" w:space="0" w:color="auto"/>
      </w:divBdr>
    </w:div>
    <w:div w:id="582834071">
      <w:bodyDiv w:val="1"/>
      <w:marLeft w:val="0"/>
      <w:marRight w:val="0"/>
      <w:marTop w:val="0"/>
      <w:marBottom w:val="0"/>
      <w:divBdr>
        <w:top w:val="none" w:sz="0" w:space="0" w:color="auto"/>
        <w:left w:val="none" w:sz="0" w:space="0" w:color="auto"/>
        <w:bottom w:val="none" w:sz="0" w:space="0" w:color="auto"/>
        <w:right w:val="none" w:sz="0" w:space="0" w:color="auto"/>
      </w:divBdr>
    </w:div>
    <w:div w:id="585307181">
      <w:bodyDiv w:val="1"/>
      <w:marLeft w:val="0"/>
      <w:marRight w:val="0"/>
      <w:marTop w:val="0"/>
      <w:marBottom w:val="0"/>
      <w:divBdr>
        <w:top w:val="none" w:sz="0" w:space="0" w:color="auto"/>
        <w:left w:val="none" w:sz="0" w:space="0" w:color="auto"/>
        <w:bottom w:val="none" w:sz="0" w:space="0" w:color="auto"/>
        <w:right w:val="none" w:sz="0" w:space="0" w:color="auto"/>
      </w:divBdr>
    </w:div>
    <w:div w:id="797918276">
      <w:bodyDiv w:val="1"/>
      <w:marLeft w:val="0"/>
      <w:marRight w:val="0"/>
      <w:marTop w:val="0"/>
      <w:marBottom w:val="0"/>
      <w:divBdr>
        <w:top w:val="none" w:sz="0" w:space="0" w:color="auto"/>
        <w:left w:val="none" w:sz="0" w:space="0" w:color="auto"/>
        <w:bottom w:val="none" w:sz="0" w:space="0" w:color="auto"/>
        <w:right w:val="none" w:sz="0" w:space="0" w:color="auto"/>
      </w:divBdr>
    </w:div>
    <w:div w:id="1103108820">
      <w:bodyDiv w:val="1"/>
      <w:marLeft w:val="0"/>
      <w:marRight w:val="0"/>
      <w:marTop w:val="0"/>
      <w:marBottom w:val="0"/>
      <w:divBdr>
        <w:top w:val="none" w:sz="0" w:space="0" w:color="auto"/>
        <w:left w:val="none" w:sz="0" w:space="0" w:color="auto"/>
        <w:bottom w:val="none" w:sz="0" w:space="0" w:color="auto"/>
        <w:right w:val="none" w:sz="0" w:space="0" w:color="auto"/>
      </w:divBdr>
      <w:divsChild>
        <w:div w:id="291903765">
          <w:marLeft w:val="0"/>
          <w:marRight w:val="0"/>
          <w:marTop w:val="0"/>
          <w:marBottom w:val="0"/>
          <w:divBdr>
            <w:top w:val="none" w:sz="0" w:space="0" w:color="auto"/>
            <w:left w:val="none" w:sz="0" w:space="0" w:color="auto"/>
            <w:bottom w:val="none" w:sz="0" w:space="0" w:color="auto"/>
            <w:right w:val="none" w:sz="0" w:space="0" w:color="auto"/>
          </w:divBdr>
        </w:div>
        <w:div w:id="883371948">
          <w:marLeft w:val="0"/>
          <w:marRight w:val="0"/>
          <w:marTop w:val="0"/>
          <w:marBottom w:val="0"/>
          <w:divBdr>
            <w:top w:val="none" w:sz="0" w:space="0" w:color="auto"/>
            <w:left w:val="none" w:sz="0" w:space="0" w:color="auto"/>
            <w:bottom w:val="none" w:sz="0" w:space="0" w:color="auto"/>
            <w:right w:val="none" w:sz="0" w:space="0" w:color="auto"/>
          </w:divBdr>
          <w:divsChild>
            <w:div w:id="1773477718">
              <w:marLeft w:val="0"/>
              <w:marRight w:val="0"/>
              <w:marTop w:val="0"/>
              <w:marBottom w:val="0"/>
              <w:divBdr>
                <w:top w:val="none" w:sz="0" w:space="0" w:color="auto"/>
                <w:left w:val="none" w:sz="0" w:space="0" w:color="auto"/>
                <w:bottom w:val="none" w:sz="0" w:space="0" w:color="auto"/>
                <w:right w:val="none" w:sz="0" w:space="0" w:color="auto"/>
              </w:divBdr>
            </w:div>
          </w:divsChild>
        </w:div>
        <w:div w:id="1492141306">
          <w:marLeft w:val="0"/>
          <w:marRight w:val="0"/>
          <w:marTop w:val="0"/>
          <w:marBottom w:val="0"/>
          <w:divBdr>
            <w:top w:val="none" w:sz="0" w:space="0" w:color="auto"/>
            <w:left w:val="none" w:sz="0" w:space="0" w:color="auto"/>
            <w:bottom w:val="none" w:sz="0" w:space="0" w:color="auto"/>
            <w:right w:val="none" w:sz="0" w:space="0" w:color="auto"/>
          </w:divBdr>
        </w:div>
      </w:divsChild>
    </w:div>
    <w:div w:id="1126581825">
      <w:bodyDiv w:val="1"/>
      <w:marLeft w:val="0"/>
      <w:marRight w:val="0"/>
      <w:marTop w:val="0"/>
      <w:marBottom w:val="0"/>
      <w:divBdr>
        <w:top w:val="none" w:sz="0" w:space="0" w:color="auto"/>
        <w:left w:val="none" w:sz="0" w:space="0" w:color="auto"/>
        <w:bottom w:val="none" w:sz="0" w:space="0" w:color="auto"/>
        <w:right w:val="none" w:sz="0" w:space="0" w:color="auto"/>
      </w:divBdr>
    </w:div>
    <w:div w:id="1869560476">
      <w:bodyDiv w:val="1"/>
      <w:marLeft w:val="0"/>
      <w:marRight w:val="0"/>
      <w:marTop w:val="0"/>
      <w:marBottom w:val="0"/>
      <w:divBdr>
        <w:top w:val="none" w:sz="0" w:space="0" w:color="auto"/>
        <w:left w:val="none" w:sz="0" w:space="0" w:color="auto"/>
        <w:bottom w:val="none" w:sz="0" w:space="0" w:color="auto"/>
        <w:right w:val="none" w:sz="0" w:space="0" w:color="auto"/>
      </w:divBdr>
      <w:divsChild>
        <w:div w:id="962005973">
          <w:marLeft w:val="0"/>
          <w:marRight w:val="0"/>
          <w:marTop w:val="0"/>
          <w:marBottom w:val="0"/>
          <w:divBdr>
            <w:top w:val="none" w:sz="0" w:space="0" w:color="auto"/>
            <w:left w:val="none" w:sz="0" w:space="0" w:color="auto"/>
            <w:bottom w:val="none" w:sz="0" w:space="0" w:color="auto"/>
            <w:right w:val="none" w:sz="0" w:space="0" w:color="auto"/>
          </w:divBdr>
        </w:div>
        <w:div w:id="1845587052">
          <w:marLeft w:val="0"/>
          <w:marRight w:val="0"/>
          <w:marTop w:val="0"/>
          <w:marBottom w:val="0"/>
          <w:divBdr>
            <w:top w:val="none" w:sz="0" w:space="0" w:color="auto"/>
            <w:left w:val="none" w:sz="0" w:space="0" w:color="auto"/>
            <w:bottom w:val="none" w:sz="0" w:space="0" w:color="auto"/>
            <w:right w:val="none" w:sz="0" w:space="0" w:color="auto"/>
          </w:divBdr>
        </w:div>
        <w:div w:id="28045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ctyc.or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Stewart</dc:creator>
  <cp:lastModifiedBy>Nancy Stewart</cp:lastModifiedBy>
  <cp:revision>6</cp:revision>
  <cp:lastPrinted>2015-01-15T11:45:00Z</cp:lastPrinted>
  <dcterms:created xsi:type="dcterms:W3CDTF">2015-10-29T16:31:00Z</dcterms:created>
  <dcterms:modified xsi:type="dcterms:W3CDTF">2015-10-30T13:36:00Z</dcterms:modified>
</cp:coreProperties>
</file>