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2C" w:rsidRPr="00F854A3" w:rsidRDefault="00360D2C" w:rsidP="00360D2C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TACTYC Conference 201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360D2C" w:rsidRPr="00F854A3" w:rsidRDefault="00360D2C" w:rsidP="00360D2C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360D2C" w:rsidRDefault="00360D2C" w:rsidP="00360D2C">
      <w:pP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nternational Convention Centre </w:t>
      </w:r>
      <w:r w:rsidRPr="008A08DC">
        <w:rPr>
          <w:rFonts w:asciiTheme="minorHAnsi" w:hAnsiTheme="minorHAnsi" w:cstheme="minorHAnsi"/>
          <w:b/>
          <w:sz w:val="28"/>
          <w:szCs w:val="28"/>
        </w:rPr>
        <w:t>Birmingham</w:t>
      </w:r>
    </w:p>
    <w:p w:rsidR="00360D2C" w:rsidRDefault="00360D2C" w:rsidP="00360D2C">
      <w:pPr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Broad Street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Birmingham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B1 2EA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UK</w:t>
      </w:r>
    </w:p>
    <w:p w:rsidR="00FB5B0B" w:rsidRPr="00FB5B0B" w:rsidRDefault="00FB5B0B" w:rsidP="00FB5B0B">
      <w:pPr>
        <w:jc w:val="center"/>
        <w:rPr>
          <w:rFonts w:ascii="Verdana" w:eastAsia="Times New Roman" w:hAnsi="Verdan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8506"/>
      </w:tblGrid>
      <w:tr w:rsidR="00EF08AA" w:rsidTr="00EF08AA">
        <w:tc>
          <w:tcPr>
            <w:tcW w:w="9242" w:type="dxa"/>
          </w:tcPr>
          <w:p w:rsidR="00EF08AA" w:rsidRPr="00EF08AA" w:rsidRDefault="00EF08AA" w:rsidP="00EF08AA">
            <w:pPr>
              <w:ind w:left="0"/>
              <w:jc w:val="center"/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</w:pP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Research Briefing </w:t>
            </w:r>
            <w:r w:rsidR="00871454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Proposal </w:t>
            </w: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>Form</w:t>
            </w:r>
          </w:p>
        </w:tc>
      </w:tr>
    </w:tbl>
    <w:p w:rsidR="00703366" w:rsidRPr="00EF08AA" w:rsidRDefault="00703366" w:rsidP="00FB5B0B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703366" w:rsidRPr="00903CD5" w:rsidRDefault="00703366" w:rsidP="00703366">
      <w:pPr>
        <w:jc w:val="center"/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</w:pPr>
      <w:r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-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NEW Submission Date</w:t>
      </w:r>
      <w:r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for </w:t>
      </w:r>
      <w:r w:rsidR="00871454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Proposal Form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: 1.10.17</w:t>
      </w:r>
      <w:r w:rsidR="00871454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- </w:t>
      </w:r>
    </w:p>
    <w:p w:rsidR="00496D4B" w:rsidRPr="00EF08AA" w:rsidRDefault="00496D4B" w:rsidP="00FB5B0B">
      <w:pPr>
        <w:ind w:left="0"/>
        <w:rPr>
          <w:rFonts w:asciiTheme="minorHAnsi" w:eastAsia="Times New Roman" w:hAnsiTheme="minorHAnsi" w:cs="Calibri"/>
          <w:b/>
          <w:lang w:eastAsia="en-GB"/>
        </w:rPr>
      </w:pPr>
    </w:p>
    <w:p w:rsid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Research Briefings are a conference workshop item. Research Briefing slots are </w:t>
      </w:r>
      <w:r w:rsidRPr="00EF08AA">
        <w:rPr>
          <w:rFonts w:asciiTheme="minorHAnsi" w:hAnsiTheme="minorHAnsi"/>
          <w:b/>
          <w:sz w:val="28"/>
          <w:szCs w:val="28"/>
        </w:rPr>
        <w:t xml:space="preserve">15 minutes, with question time added at the end. </w:t>
      </w:r>
      <w:r w:rsidRPr="00EF08AA">
        <w:rPr>
          <w:rFonts w:asciiTheme="minorHAnsi" w:hAnsiTheme="minorHAnsi"/>
          <w:sz w:val="28"/>
          <w:szCs w:val="28"/>
        </w:rPr>
        <w:t xml:space="preserve">Research briefings offer an opportunity for </w:t>
      </w:r>
      <w:r w:rsidR="00EF08AA">
        <w:rPr>
          <w:rFonts w:asciiTheme="minorHAnsi" w:hAnsiTheme="minorHAnsi"/>
          <w:sz w:val="28"/>
          <w:szCs w:val="28"/>
        </w:rPr>
        <w:t xml:space="preserve">research engaged </w:t>
      </w:r>
      <w:r w:rsidRPr="00EF08AA">
        <w:rPr>
          <w:rFonts w:asciiTheme="minorHAnsi" w:hAnsiTheme="minorHAnsi"/>
          <w:sz w:val="28"/>
          <w:szCs w:val="28"/>
        </w:rPr>
        <w:t xml:space="preserve">colleagues </w:t>
      </w:r>
      <w:r w:rsidR="00EF08AA">
        <w:rPr>
          <w:rFonts w:asciiTheme="minorHAnsi" w:hAnsiTheme="minorHAnsi"/>
          <w:sz w:val="28"/>
          <w:szCs w:val="28"/>
        </w:rPr>
        <w:t>to present their work focused on one of our conference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AA" w:rsidTr="00EF08AA">
        <w:tc>
          <w:tcPr>
            <w:tcW w:w="9242" w:type="dxa"/>
          </w:tcPr>
          <w:p w:rsidR="00360D2C" w:rsidRPr="008A00BF" w:rsidRDefault="00360D2C" w:rsidP="00360D2C">
            <w:pPr>
              <w:ind w:left="0"/>
              <w:jc w:val="center"/>
              <w:rPr>
                <w:rFonts w:asciiTheme="minorHAnsi" w:hAnsiTheme="minorHAnsi" w:cstheme="minorHAnsi"/>
                <w:color w:val="CC3399"/>
                <w:sz w:val="32"/>
                <w:szCs w:val="32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32"/>
                <w:szCs w:val="32"/>
              </w:rPr>
              <w:t>- 2017 TACTYC Conference Themes -</w:t>
            </w:r>
          </w:p>
          <w:p w:rsidR="00360D2C" w:rsidRPr="008A00BF" w:rsidRDefault="00360D2C" w:rsidP="00360D2C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Young Children’s Worlds</w:t>
            </w:r>
          </w:p>
          <w:p w:rsidR="00360D2C" w:rsidRPr="008A00BF" w:rsidRDefault="00360D2C" w:rsidP="00360D2C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Early Childhood Professionals for 21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  <w:vertAlign w:val="superscript"/>
              </w:rPr>
              <w:t>st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 xml:space="preserve"> Century Children</w:t>
            </w:r>
          </w:p>
          <w:p w:rsidR="00EF08AA" w:rsidRPr="00EF08AA" w:rsidRDefault="00360D2C" w:rsidP="00360D2C">
            <w:pPr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Challenges and Opportunities in Early Childhood</w:t>
            </w:r>
            <w:r w:rsidRPr="00F42BC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EF08AA" w:rsidRP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703366" w:rsidRP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386632">
        <w:rPr>
          <w:rFonts w:asciiTheme="minorHAnsi" w:hAnsiTheme="minorHAnsi"/>
          <w:sz w:val="28"/>
          <w:szCs w:val="28"/>
        </w:rPr>
        <w:t>Research B</w:t>
      </w:r>
      <w:r w:rsidR="00CE3C8C" w:rsidRPr="00386632">
        <w:rPr>
          <w:rFonts w:asciiTheme="minorHAnsi" w:hAnsiTheme="minorHAnsi"/>
          <w:sz w:val="28"/>
          <w:szCs w:val="28"/>
        </w:rPr>
        <w:t xml:space="preserve">riefings that are selected for presentation will be </w:t>
      </w:r>
      <w:r w:rsidRPr="00386632">
        <w:rPr>
          <w:rFonts w:asciiTheme="minorHAnsi" w:hAnsiTheme="minorHAnsi"/>
          <w:sz w:val="28"/>
          <w:szCs w:val="28"/>
        </w:rPr>
        <w:t xml:space="preserve">accompanied by </w:t>
      </w:r>
      <w:r w:rsidRPr="00386632">
        <w:rPr>
          <w:rFonts w:asciiTheme="minorHAnsi" w:hAnsiTheme="minorHAnsi"/>
          <w:b/>
          <w:sz w:val="28"/>
          <w:szCs w:val="28"/>
        </w:rPr>
        <w:t>papers of 2000-3000 words</w:t>
      </w:r>
      <w:r w:rsidR="00CE3C8C" w:rsidRPr="00386632">
        <w:rPr>
          <w:rFonts w:asciiTheme="minorHAnsi" w:hAnsiTheme="minorHAnsi"/>
          <w:sz w:val="28"/>
          <w:szCs w:val="28"/>
        </w:rPr>
        <w:t xml:space="preserve"> which </w:t>
      </w:r>
      <w:r w:rsidR="003F12C4" w:rsidRPr="00386632">
        <w:rPr>
          <w:rFonts w:asciiTheme="minorHAnsi" w:hAnsiTheme="minorHAnsi"/>
          <w:sz w:val="28"/>
          <w:szCs w:val="28"/>
        </w:rPr>
        <w:t xml:space="preserve">must </w:t>
      </w:r>
      <w:r w:rsidR="00496D4B" w:rsidRPr="00386632">
        <w:rPr>
          <w:rFonts w:asciiTheme="minorHAnsi" w:hAnsiTheme="minorHAnsi"/>
          <w:sz w:val="28"/>
          <w:szCs w:val="28"/>
        </w:rPr>
        <w:t xml:space="preserve">be </w:t>
      </w:r>
      <w:r w:rsidRPr="00386632">
        <w:rPr>
          <w:rFonts w:asciiTheme="minorHAnsi" w:hAnsiTheme="minorHAnsi"/>
          <w:sz w:val="28"/>
          <w:szCs w:val="28"/>
        </w:rPr>
        <w:t xml:space="preserve">submitted </w:t>
      </w:r>
      <w:r w:rsidR="003F12C4" w:rsidRPr="00386632">
        <w:rPr>
          <w:rFonts w:asciiTheme="minorHAnsi" w:hAnsiTheme="minorHAnsi"/>
          <w:sz w:val="28"/>
          <w:szCs w:val="28"/>
        </w:rPr>
        <w:t xml:space="preserve">by e-mail </w:t>
      </w:r>
      <w:r w:rsidRPr="00386632">
        <w:rPr>
          <w:rFonts w:asciiTheme="minorHAnsi" w:hAnsiTheme="minorHAnsi"/>
          <w:sz w:val="28"/>
          <w:szCs w:val="28"/>
        </w:rPr>
        <w:t xml:space="preserve">to </w:t>
      </w:r>
      <w:r w:rsidR="00921B5D" w:rsidRPr="00386632">
        <w:rPr>
          <w:rFonts w:asciiTheme="minorHAnsi" w:hAnsiTheme="minorHAnsi"/>
          <w:sz w:val="28"/>
          <w:szCs w:val="28"/>
        </w:rPr>
        <w:t xml:space="preserve">Dr. Jane Murray - </w:t>
      </w:r>
      <w:hyperlink r:id="rId6" w:history="1">
        <w:r w:rsidR="00921B5D" w:rsidRPr="00386632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386632">
        <w:rPr>
          <w:rFonts w:asciiTheme="minorHAnsi" w:hAnsiTheme="minorHAnsi"/>
          <w:sz w:val="28"/>
          <w:szCs w:val="28"/>
        </w:rPr>
        <w:t xml:space="preserve"> </w:t>
      </w:r>
      <w:r w:rsidR="00496D4B" w:rsidRPr="00386632">
        <w:rPr>
          <w:rFonts w:asciiTheme="minorHAnsi" w:hAnsiTheme="minorHAnsi"/>
          <w:sz w:val="28"/>
          <w:szCs w:val="28"/>
        </w:rPr>
        <w:t>by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 </w:t>
      </w:r>
      <w:r w:rsidR="00903CD5">
        <w:rPr>
          <w:rFonts w:asciiTheme="minorHAnsi" w:hAnsiTheme="minorHAnsi"/>
          <w:b/>
          <w:sz w:val="28"/>
          <w:szCs w:val="28"/>
        </w:rPr>
        <w:t>30</w:t>
      </w:r>
      <w:r w:rsidR="00360D2C" w:rsidRPr="00360D2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60D2C">
        <w:rPr>
          <w:rFonts w:asciiTheme="minorHAnsi" w:hAnsiTheme="minorHAnsi"/>
          <w:b/>
          <w:sz w:val="28"/>
          <w:szCs w:val="28"/>
        </w:rPr>
        <w:t xml:space="preserve"> Octo</w:t>
      </w:r>
      <w:r w:rsidR="00EF08AA" w:rsidRPr="00EF08AA">
        <w:rPr>
          <w:rFonts w:asciiTheme="minorHAnsi" w:hAnsiTheme="minorHAnsi"/>
          <w:b/>
          <w:sz w:val="28"/>
          <w:szCs w:val="28"/>
        </w:rPr>
        <w:t>ber 201</w:t>
      </w:r>
      <w:r w:rsidR="00360D2C">
        <w:rPr>
          <w:rFonts w:asciiTheme="minorHAnsi" w:hAnsiTheme="minorHAnsi"/>
          <w:b/>
          <w:sz w:val="28"/>
          <w:szCs w:val="28"/>
        </w:rPr>
        <w:t>7</w:t>
      </w:r>
    </w:p>
    <w:p w:rsidR="00703366" w:rsidRPr="00EF08AA" w:rsidRDefault="00703366" w:rsidP="00EF08AA">
      <w:pPr>
        <w:spacing w:line="360" w:lineRule="auto"/>
        <w:ind w:left="0"/>
        <w:jc w:val="center"/>
        <w:rPr>
          <w:rFonts w:asciiTheme="minorHAnsi" w:hAnsiTheme="minorHAnsi"/>
          <w:b/>
          <w:sz w:val="16"/>
          <w:szCs w:val="16"/>
        </w:rPr>
      </w:pPr>
    </w:p>
    <w:p w:rsid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FB5B0B" w:rsidRPr="00EF08AA">
        <w:rPr>
          <w:rFonts w:asciiTheme="minorHAnsi" w:hAnsiTheme="minorHAnsi"/>
          <w:sz w:val="28"/>
          <w:szCs w:val="28"/>
        </w:rPr>
        <w:t>onference</w:t>
      </w:r>
      <w:r w:rsidR="00496D4B" w:rsidRPr="00EF08AA">
        <w:rPr>
          <w:rFonts w:asciiTheme="minorHAnsi" w:hAnsiTheme="minorHAnsi"/>
          <w:sz w:val="28"/>
          <w:szCs w:val="28"/>
        </w:rPr>
        <w:t xml:space="preserve"> research</w:t>
      </w:r>
      <w:r w:rsidR="00FB5B0B" w:rsidRPr="00EF08AA">
        <w:rPr>
          <w:rFonts w:asciiTheme="minorHAnsi" w:hAnsiTheme="minorHAnsi"/>
          <w:sz w:val="28"/>
          <w:szCs w:val="28"/>
        </w:rPr>
        <w:t xml:space="preserve"> briefing papers </w:t>
      </w:r>
      <w:r>
        <w:rPr>
          <w:rFonts w:asciiTheme="minorHAnsi" w:hAnsiTheme="minorHAnsi"/>
          <w:sz w:val="28"/>
          <w:szCs w:val="28"/>
        </w:rPr>
        <w:t>will be</w:t>
      </w:r>
      <w:r w:rsidR="00FB5B0B" w:rsidRPr="00EF08A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published</w:t>
      </w:r>
      <w:r w:rsidR="00FB5B0B" w:rsidRPr="00EF08AA">
        <w:rPr>
          <w:rFonts w:asciiTheme="minorHAnsi" w:hAnsiTheme="minorHAnsi"/>
          <w:sz w:val="28"/>
          <w:szCs w:val="28"/>
        </w:rPr>
        <w:t xml:space="preserve"> on the TACTYC website following the conference</w:t>
      </w:r>
      <w:r>
        <w:rPr>
          <w:rFonts w:asciiTheme="minorHAnsi" w:hAnsiTheme="minorHAnsi"/>
          <w:sz w:val="28"/>
          <w:szCs w:val="28"/>
        </w:rPr>
        <w:t>*</w:t>
      </w:r>
    </w:p>
    <w:p w:rsidR="004765AE" w:rsidRPr="00EF08AA" w:rsidRDefault="00E76664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b/>
          <w:sz w:val="28"/>
          <w:szCs w:val="28"/>
        </w:rPr>
        <w:t>If you would like your Research B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riefing to be considered, please submit an outline (150-300 words) </w:t>
      </w:r>
      <w:r w:rsidR="004765AE" w:rsidRPr="00EF08AA">
        <w:rPr>
          <w:rFonts w:asciiTheme="minorHAnsi" w:hAnsiTheme="minorHAnsi"/>
          <w:b/>
          <w:sz w:val="28"/>
          <w:szCs w:val="28"/>
        </w:rPr>
        <w:t>using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 the ‘Research Briefing Form’ 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overleaf 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by e-mail </w:t>
      </w:r>
      <w:r w:rsidR="003F12C4" w:rsidRPr="00EF08AA">
        <w:rPr>
          <w:rFonts w:asciiTheme="minorHAnsi" w:hAnsiTheme="minorHAnsi"/>
          <w:b/>
          <w:sz w:val="28"/>
          <w:szCs w:val="28"/>
        </w:rPr>
        <w:t xml:space="preserve">to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Dr. </w:t>
      </w:r>
      <w:r w:rsidR="00921B5D" w:rsidRPr="00EF08AA">
        <w:rPr>
          <w:rFonts w:asciiTheme="minorHAnsi" w:hAnsiTheme="minorHAnsi"/>
          <w:b/>
          <w:sz w:val="28"/>
          <w:szCs w:val="28"/>
        </w:rPr>
        <w:t xml:space="preserve">Jane Murray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at </w:t>
      </w:r>
      <w:hyperlink r:id="rId7" w:history="1">
        <w:r w:rsidR="00921B5D" w:rsidRPr="00EF08AA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b/>
          <w:sz w:val="28"/>
          <w:szCs w:val="28"/>
        </w:rPr>
        <w:t xml:space="preserve">no later than </w:t>
      </w:r>
      <w:r w:rsidR="00DC766D" w:rsidRPr="00EF08AA">
        <w:rPr>
          <w:rFonts w:asciiTheme="minorHAnsi" w:hAnsiTheme="minorHAnsi"/>
          <w:b/>
          <w:sz w:val="28"/>
          <w:szCs w:val="28"/>
        </w:rPr>
        <w:t xml:space="preserve">September </w:t>
      </w:r>
      <w:r w:rsidR="0054725C">
        <w:rPr>
          <w:rFonts w:asciiTheme="minorHAnsi" w:hAnsiTheme="minorHAnsi"/>
          <w:b/>
          <w:sz w:val="28"/>
          <w:szCs w:val="28"/>
        </w:rPr>
        <w:t>17</w:t>
      </w:r>
      <w:r w:rsidR="0054725C" w:rsidRPr="0054725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4725C">
        <w:rPr>
          <w:rFonts w:asciiTheme="minorHAnsi" w:hAnsiTheme="minorHAnsi"/>
          <w:b/>
          <w:sz w:val="28"/>
          <w:szCs w:val="28"/>
        </w:rPr>
        <w:t xml:space="preserve"> 201</w:t>
      </w:r>
      <w:r w:rsidR="00360D2C">
        <w:rPr>
          <w:rFonts w:asciiTheme="minorHAnsi" w:hAnsiTheme="minorHAnsi"/>
          <w:b/>
          <w:sz w:val="28"/>
          <w:szCs w:val="28"/>
        </w:rPr>
        <w:t>7</w:t>
      </w:r>
      <w:r w:rsidR="00703366" w:rsidRPr="00EF08AA">
        <w:rPr>
          <w:rFonts w:asciiTheme="minorHAnsi" w:hAnsiTheme="minorHAnsi"/>
          <w:b/>
          <w:sz w:val="28"/>
          <w:szCs w:val="28"/>
        </w:rPr>
        <w:t>.</w:t>
      </w:r>
      <w:r w:rsidR="00703366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sz w:val="28"/>
          <w:szCs w:val="28"/>
        </w:rPr>
        <w:t>All submissions will receive a response.</w:t>
      </w:r>
    </w:p>
    <w:p w:rsidR="003F12C4" w:rsidRPr="00EF08AA" w:rsidRDefault="003F12C4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4765AE" w:rsidRDefault="004765AE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sz w:val="28"/>
          <w:szCs w:val="28"/>
        </w:rPr>
        <w:t xml:space="preserve">Please note, it will be necessary to register for the conference no later than October </w:t>
      </w:r>
      <w:r w:rsidR="00360D2C">
        <w:rPr>
          <w:rFonts w:asciiTheme="minorHAnsi" w:hAnsiTheme="minorHAnsi"/>
          <w:sz w:val="28"/>
          <w:szCs w:val="28"/>
        </w:rPr>
        <w:t>1</w:t>
      </w:r>
      <w:r w:rsidR="00360D2C" w:rsidRPr="00360D2C">
        <w:rPr>
          <w:rFonts w:asciiTheme="minorHAnsi" w:hAnsiTheme="minorHAnsi"/>
          <w:sz w:val="28"/>
          <w:szCs w:val="28"/>
          <w:vertAlign w:val="superscript"/>
        </w:rPr>
        <w:t>st</w:t>
      </w:r>
      <w:r w:rsidR="00360D2C">
        <w:rPr>
          <w:rFonts w:asciiTheme="minorHAnsi" w:hAnsiTheme="minorHAnsi"/>
          <w:sz w:val="28"/>
          <w:szCs w:val="28"/>
        </w:rPr>
        <w:t xml:space="preserve"> 2017.</w:t>
      </w:r>
    </w:p>
    <w:p w:rsidR="00EF08AA" w:rsidRPr="00EF08AA" w:rsidRDefault="00EF08AA" w:rsidP="00EF08AA">
      <w:pPr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EF08AA">
        <w:rPr>
          <w:rFonts w:asciiTheme="minorHAnsi" w:hAnsiTheme="minorHAnsi"/>
          <w:sz w:val="20"/>
          <w:szCs w:val="20"/>
        </w:rPr>
        <w:t>*subject to author consent</w:t>
      </w:r>
    </w:p>
    <w:p w:rsidR="00496D4B" w:rsidRDefault="00496D4B" w:rsidP="004765AE">
      <w:pPr>
        <w:spacing w:line="360" w:lineRule="auto"/>
        <w:ind w:left="0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360D2C" w:rsidRPr="00EF08AA" w:rsidRDefault="00360D2C" w:rsidP="004765AE">
      <w:pPr>
        <w:spacing w:line="360" w:lineRule="auto"/>
        <w:ind w:left="0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C871EA" w:rsidRDefault="00C871EA" w:rsidP="00C871EA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54725C" w:rsidRDefault="0054725C" w:rsidP="003507D1">
      <w:pPr>
        <w:ind w:left="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FC2344F" wp14:editId="085DBC67">
            <wp:extent cx="1343923" cy="249859"/>
            <wp:effectExtent l="19050" t="0" r="8627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5" cy="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5C" w:rsidRPr="00F854A3" w:rsidRDefault="0054725C" w:rsidP="003507D1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Conference 201</w:t>
      </w:r>
      <w:r w:rsidR="00360D2C"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54725C" w:rsidRPr="00F854A3" w:rsidRDefault="00360D2C" w:rsidP="003507D1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="0054725C"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="0054725C"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360D2C" w:rsidRPr="00360D2C" w:rsidRDefault="00360D2C" w:rsidP="003507D1">
      <w:pPr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D2C">
        <w:rPr>
          <w:rFonts w:asciiTheme="minorHAnsi" w:hAnsiTheme="minorHAnsi" w:cstheme="minorHAnsi"/>
          <w:b/>
          <w:sz w:val="24"/>
          <w:szCs w:val="24"/>
        </w:rPr>
        <w:t>International Convention Centre Birmingham</w:t>
      </w:r>
    </w:p>
    <w:p w:rsidR="00360D2C" w:rsidRPr="00360D2C" w:rsidRDefault="00360D2C" w:rsidP="003507D1">
      <w:pPr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Broad Street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Birmingham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B1 2EA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UK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118"/>
        <w:gridCol w:w="992"/>
        <w:gridCol w:w="284"/>
        <w:gridCol w:w="2835"/>
        <w:gridCol w:w="1134"/>
      </w:tblGrid>
      <w:tr w:rsidR="00496D4B" w:rsidTr="00496D4B">
        <w:tc>
          <w:tcPr>
            <w:tcW w:w="10774" w:type="dxa"/>
            <w:gridSpan w:val="7"/>
          </w:tcPr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2B49">
              <w:rPr>
                <w:rFonts w:asciiTheme="minorHAnsi" w:hAnsiTheme="minorHAnsi"/>
                <w:b/>
                <w:sz w:val="28"/>
                <w:szCs w:val="28"/>
              </w:rPr>
              <w:t>Research Briefing Form</w:t>
            </w:r>
          </w:p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150-300 words – expand boxes as required</w:t>
            </w:r>
            <w:r w:rsidRPr="00A72B49">
              <w:rPr>
                <w:rFonts w:asciiTheme="minorHAnsi" w:hAnsiTheme="minorHAnsi"/>
              </w:rPr>
              <w:t>)</w:t>
            </w:r>
          </w:p>
        </w:tc>
      </w:tr>
      <w:tr w:rsidR="00CE3C8C" w:rsidTr="00496D4B">
        <w:tc>
          <w:tcPr>
            <w:tcW w:w="10774" w:type="dxa"/>
            <w:gridSpan w:val="7"/>
          </w:tcPr>
          <w:p w:rsidR="00CE3C8C" w:rsidRPr="00A72B49" w:rsidRDefault="00CE3C8C" w:rsidP="00A72B4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Submit by </w:t>
            </w:r>
            <w:r w:rsidR="00903CD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="00903CD5" w:rsidRPr="00903CD5">
              <w:rPr>
                <w:rFonts w:asciiTheme="minorHAnsi" w:hAnsiTheme="minorHAnsi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903CD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October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, 201</w:t>
            </w:r>
            <w:r w:rsidR="002F72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7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to: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>Dr.</w:t>
            </w:r>
            <w:proofErr w:type="spellEnd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21B5D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Jane Murray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at </w:t>
            </w:r>
            <w:hyperlink r:id="rId9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All submissions will receive a response.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Research Briefings that are selected for presentation will be accompanied by papers of 2000-3000 words which 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must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be submitted </w:t>
            </w:r>
            <w:r w:rsidR="00A72B49" w:rsidRPr="00A72B49">
              <w:rPr>
                <w:rFonts w:asciiTheme="minorHAnsi" w:hAnsiTheme="minorHAnsi"/>
                <w:b/>
                <w:sz w:val="24"/>
                <w:szCs w:val="24"/>
              </w:rPr>
              <w:t>by</w:t>
            </w:r>
            <w:r w:rsidR="00A72B49" w:rsidRPr="00B44B1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03CD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360D2C" w:rsidRPr="00360D2C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360D2C">
              <w:rPr>
                <w:rFonts w:asciiTheme="minorHAnsi" w:hAnsiTheme="minorHAnsi"/>
                <w:b/>
                <w:sz w:val="24"/>
                <w:szCs w:val="24"/>
              </w:rPr>
              <w:t xml:space="preserve"> October 2017 </w:t>
            </w:r>
            <w:r w:rsidRPr="00B44B1D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r w:rsidR="00921B5D" w:rsidRPr="00B44B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F81CDD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Author </w:t>
            </w:r>
            <w:r w:rsidR="00496D4B" w:rsidRPr="00A72B49">
              <w:rPr>
                <w:rFonts w:asciiTheme="minorHAnsi" w:hAnsiTheme="minorHAnsi"/>
                <w:sz w:val="24"/>
                <w:szCs w:val="24"/>
              </w:rPr>
              <w:t>Name</w:t>
            </w:r>
            <w:r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Holton (</w:t>
            </w:r>
            <w:r w:rsidR="00B64280">
              <w:rPr>
                <w:rFonts w:asciiTheme="minorHAnsi" w:hAnsiTheme="minorHAnsi"/>
              </w:rPr>
              <w:t>Tutor/</w:t>
            </w:r>
            <w:r>
              <w:rPr>
                <w:rFonts w:asciiTheme="minorHAnsi" w:hAnsiTheme="minorHAnsi"/>
              </w:rPr>
              <w:t>Researcher) &amp; Nicola Novis (Parent)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Organisation</w:t>
            </w:r>
            <w:r w:rsidR="00F81CDD"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 Green Research, Training and Development Base</w:t>
            </w:r>
          </w:p>
          <w:p w:rsidR="00B44B1D" w:rsidRPr="00A72B49" w:rsidRDefault="00B44B1D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 w:val="restart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Contact</w:t>
            </w:r>
          </w:p>
          <w:p w:rsidR="00496D4B" w:rsidRPr="00A72B49" w:rsidRDefault="00F81CDD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</w:t>
            </w:r>
            <w:r w:rsidR="00496D4B" w:rsidRPr="00A72B49">
              <w:rPr>
                <w:rFonts w:asciiTheme="minorHAnsi" w:hAnsiTheme="minorHAnsi"/>
              </w:rPr>
              <w:t>etails</w:t>
            </w:r>
            <w:r w:rsidRPr="00A72B49">
              <w:rPr>
                <w:rFonts w:asciiTheme="minorHAnsi" w:hAnsiTheme="minorHAnsi"/>
              </w:rPr>
              <w:t xml:space="preserve"> of 1</w:t>
            </w:r>
            <w:r w:rsidRPr="00A72B49">
              <w:rPr>
                <w:rFonts w:asciiTheme="minorHAnsi" w:hAnsiTheme="minorHAnsi"/>
                <w:vertAlign w:val="superscript"/>
              </w:rPr>
              <w:t>st</w:t>
            </w:r>
            <w:r w:rsidRPr="00A72B49">
              <w:rPr>
                <w:rFonts w:asciiTheme="minorHAnsi" w:hAnsiTheme="minorHAnsi"/>
              </w:rPr>
              <w:t xml:space="preserve"> author only</w:t>
            </w: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Address</w:t>
            </w:r>
          </w:p>
        </w:tc>
        <w:tc>
          <w:tcPr>
            <w:tcW w:w="8363" w:type="dxa"/>
            <w:gridSpan w:val="5"/>
          </w:tcPr>
          <w:p w:rsidR="00496D4B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 Rockingham Road,</w:t>
            </w:r>
          </w:p>
          <w:p w:rsidR="008A5671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Corby,</w:t>
            </w:r>
          </w:p>
          <w:p w:rsidR="008A5671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Northants</w:t>
            </w:r>
          </w:p>
          <w:p w:rsidR="00496D4B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NN17 1AG</w:t>
            </w:r>
          </w:p>
          <w:p w:rsidR="00E43D1A" w:rsidRPr="00A72B49" w:rsidRDefault="00E43D1A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E-mail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DD1067" w:rsidP="00FB5B0B">
            <w:pPr>
              <w:ind w:left="0"/>
              <w:rPr>
                <w:rFonts w:asciiTheme="minorHAnsi" w:hAnsiTheme="minorHAnsi"/>
              </w:rPr>
            </w:pPr>
            <w:hyperlink r:id="rId11" w:history="1">
              <w:r w:rsidR="008A5671" w:rsidRPr="00070135">
                <w:rPr>
                  <w:rStyle w:val="Hyperlink"/>
                  <w:rFonts w:asciiTheme="minorHAnsi" w:hAnsiTheme="minorHAnsi"/>
                </w:rPr>
                <w:t>eholton@northamptonshire.gov.uk</w:t>
              </w:r>
            </w:hyperlink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Telephone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01536 443435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Briefing Title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gets stuck</w:t>
            </w:r>
            <w:r w:rsidR="00933A5C">
              <w:rPr>
                <w:rFonts w:asciiTheme="minorHAnsi" w:hAnsiTheme="minorHAnsi"/>
              </w:rPr>
              <w:t xml:space="preserve"> – A child study to support Practitioners</w:t>
            </w:r>
            <w:r w:rsidR="00DD1067">
              <w:rPr>
                <w:rFonts w:asciiTheme="minorHAnsi" w:hAnsiTheme="minorHAnsi"/>
              </w:rPr>
              <w:t>’</w:t>
            </w:r>
            <w:r w:rsidR="00933A5C">
              <w:rPr>
                <w:rFonts w:asciiTheme="minorHAnsi" w:hAnsiTheme="minorHAnsi"/>
              </w:rPr>
              <w:t xml:space="preserve"> understanding of a Child’s world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questions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analysis of observational data in relation to theoretical frameworks, can we more fully understa</w:t>
            </w:r>
            <w:r w:rsidR="00861CB5">
              <w:rPr>
                <w:rFonts w:asciiTheme="minorHAnsi" w:hAnsiTheme="minorHAnsi"/>
              </w:rPr>
              <w:t>nd a child’s emotional world?  Through</w:t>
            </w:r>
            <w:r>
              <w:rPr>
                <w:rFonts w:asciiTheme="minorHAnsi" w:hAnsiTheme="minorHAnsi"/>
              </w:rPr>
              <w:t xml:space="preserve"> close observation and parental </w:t>
            </w:r>
            <w:r w:rsidR="00DD1067">
              <w:rPr>
                <w:rFonts w:asciiTheme="minorHAnsi" w:hAnsiTheme="minorHAnsi"/>
              </w:rPr>
              <w:t xml:space="preserve">partnership </w:t>
            </w:r>
            <w:r>
              <w:rPr>
                <w:rFonts w:asciiTheme="minorHAnsi" w:hAnsiTheme="minorHAnsi"/>
              </w:rPr>
              <w:t>can we better understand the child’s context, experiences and the messages they are conveying through their play</w:t>
            </w:r>
            <w:r w:rsidR="00DD1067">
              <w:rPr>
                <w:rFonts w:asciiTheme="minorHAnsi" w:hAnsiTheme="minorHAnsi"/>
              </w:rPr>
              <w:t xml:space="preserve"> and use this to support their learning and development</w:t>
            </w:r>
            <w:r>
              <w:rPr>
                <w:rFonts w:asciiTheme="minorHAnsi" w:hAnsiTheme="minorHAnsi"/>
              </w:rPr>
              <w:t>?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360D2C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Methodology and Methods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A72B49" w:rsidRPr="00A72B49" w:rsidRDefault="008A5671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Interpretive, case study methodology, fully informed consent gained from parents </w:t>
            </w:r>
            <w:r w:rsidR="00053489">
              <w:rPr>
                <w:rFonts w:asciiTheme="minorHAnsi" w:hAnsiTheme="minorHAnsi"/>
              </w:rPr>
              <w:t>of child and assent also gained from child.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Theoretical framework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053489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Drawing on compani</w:t>
            </w:r>
            <w:r w:rsidR="00DD1067">
              <w:rPr>
                <w:rFonts w:asciiTheme="minorHAnsi" w:hAnsiTheme="minorHAnsi"/>
              </w:rPr>
              <w:t>onship theory (</w:t>
            </w:r>
            <w:proofErr w:type="spellStart"/>
            <w:r w:rsidR="00DD1067">
              <w:rPr>
                <w:rFonts w:asciiTheme="minorHAnsi" w:hAnsiTheme="minorHAnsi"/>
              </w:rPr>
              <w:t>Trevarthen</w:t>
            </w:r>
            <w:proofErr w:type="spellEnd"/>
            <w:r w:rsidR="00DD1067">
              <w:rPr>
                <w:rFonts w:asciiTheme="minorHAnsi" w:hAnsiTheme="minorHAnsi"/>
              </w:rPr>
              <w:t xml:space="preserve"> 2001), companionable learning (Roberts 2011), schemas (</w:t>
            </w:r>
            <w:proofErr w:type="spellStart"/>
            <w:r w:rsidR="00DD1067">
              <w:rPr>
                <w:rFonts w:asciiTheme="minorHAnsi" w:hAnsiTheme="minorHAnsi"/>
              </w:rPr>
              <w:t>Athey</w:t>
            </w:r>
            <w:proofErr w:type="spellEnd"/>
            <w:r w:rsidR="00DD1067">
              <w:rPr>
                <w:rFonts w:asciiTheme="minorHAnsi" w:hAnsiTheme="minorHAnsi"/>
              </w:rPr>
              <w:t xml:space="preserve"> 1997), and </w:t>
            </w:r>
            <w:r>
              <w:rPr>
                <w:rFonts w:asciiTheme="minorHAnsi" w:hAnsiTheme="minorHAnsi"/>
              </w:rPr>
              <w:t>schemas and emotions (Arnold 2010)</w:t>
            </w: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630DAD">
        <w:trPr>
          <w:trHeight w:val="1489"/>
        </w:trPr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Summary of key findings/key implications 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Default="00053489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  <w:r w:rsidR="00DD1067">
              <w:rPr>
                <w:rFonts w:asciiTheme="minorHAnsi" w:hAnsiTheme="minorHAnsi"/>
              </w:rPr>
              <w:t>rough th</w:t>
            </w:r>
            <w:r>
              <w:rPr>
                <w:rFonts w:asciiTheme="minorHAnsi" w:hAnsiTheme="minorHAnsi"/>
              </w:rPr>
              <w:t>e combination of clos</w:t>
            </w:r>
            <w:r w:rsidR="00DD1067">
              <w:rPr>
                <w:rFonts w:asciiTheme="minorHAnsi" w:hAnsiTheme="minorHAnsi"/>
              </w:rPr>
              <w:t xml:space="preserve">e observation and meaningful partnership with parents, we found that: </w:t>
            </w:r>
          </w:p>
          <w:p w:rsidR="00933A5C" w:rsidRDefault="00DD1067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relation to s</w:t>
            </w:r>
            <w:r w:rsidR="00933A5C">
              <w:rPr>
                <w:rFonts w:asciiTheme="minorHAnsi" w:hAnsiTheme="minorHAnsi"/>
              </w:rPr>
              <w:t>chemas: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demonstrated a ‘cluster’ of schemas (</w:t>
            </w:r>
            <w:proofErr w:type="spellStart"/>
            <w:r>
              <w:rPr>
                <w:rFonts w:asciiTheme="minorHAnsi" w:hAnsiTheme="minorHAnsi"/>
              </w:rPr>
              <w:t>Athey</w:t>
            </w:r>
            <w:proofErr w:type="spellEnd"/>
            <w:r>
              <w:rPr>
                <w:rFonts w:asciiTheme="minorHAnsi" w:hAnsiTheme="minorHAnsi"/>
              </w:rPr>
              <w:t xml:space="preserve"> 2007)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Harry was interested in making physical and emotional ‘connections’ 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was interested in creating ‘boundaries’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may have been exercising some control in his environment</w:t>
            </w:r>
          </w:p>
          <w:p w:rsidR="00DD1067" w:rsidRDefault="00DD1067" w:rsidP="00DD1067">
            <w:pPr>
              <w:pStyle w:val="ListParagraph"/>
              <w:rPr>
                <w:rFonts w:asciiTheme="minorHAnsi" w:hAnsiTheme="minorHAnsi"/>
              </w:rPr>
            </w:pPr>
          </w:p>
          <w:p w:rsidR="00933A5C" w:rsidRDefault="00DD1067" w:rsidP="00933A5C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relation to c</w:t>
            </w:r>
            <w:r w:rsidR="00933A5C">
              <w:rPr>
                <w:rFonts w:asciiTheme="minorHAnsi" w:hAnsiTheme="minorHAnsi"/>
              </w:rPr>
              <w:t>ompanionship: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was supported in the four strands of ‘companionable’ learning (Roberts 2011)</w:t>
            </w:r>
          </w:p>
          <w:p w:rsidR="00933A5C" w:rsidRDefault="00933A5C" w:rsidP="00933A5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Harry was particularly interested in engaging with adults</w:t>
            </w:r>
          </w:p>
          <w:p w:rsidR="00DD1067" w:rsidRPr="00DD1067" w:rsidRDefault="00DD1067" w:rsidP="00DD1067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enables parents and practitioners to work together to support Harry through a significant transition within the early years setting. </w:t>
            </w:r>
          </w:p>
        </w:tc>
      </w:tr>
      <w:tr w:rsidR="00630DAD" w:rsidTr="00630DAD">
        <w:trPr>
          <w:trHeight w:val="702"/>
        </w:trPr>
        <w:tc>
          <w:tcPr>
            <w:tcW w:w="10774" w:type="dxa"/>
            <w:gridSpan w:val="7"/>
          </w:tcPr>
          <w:p w:rsidR="00630DAD" w:rsidRPr="00A72B49" w:rsidRDefault="00630DAD" w:rsidP="008B60D5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lastRenderedPageBreak/>
              <w:t xml:space="preserve">Please note: </w:t>
            </w:r>
            <w:r w:rsidR="008B60D5">
              <w:rPr>
                <w:rFonts w:asciiTheme="minorHAnsi" w:hAnsiTheme="minorHAnsi"/>
              </w:rPr>
              <w:t xml:space="preserve">We </w:t>
            </w:r>
            <w:r w:rsidR="00FC6A50" w:rsidRPr="00A72B49">
              <w:rPr>
                <w:rFonts w:asciiTheme="minorHAnsi" w:hAnsiTheme="minorHAnsi"/>
              </w:rPr>
              <w:t>supply a data projector</w:t>
            </w:r>
            <w:r w:rsidR="008B60D5">
              <w:rPr>
                <w:rFonts w:asciiTheme="minorHAnsi" w:hAnsiTheme="minorHAnsi"/>
              </w:rPr>
              <w:t>, screen and laptop</w:t>
            </w:r>
            <w:r w:rsidR="00FC6A50" w:rsidRPr="00A72B49">
              <w:rPr>
                <w:rFonts w:asciiTheme="minorHAnsi" w:hAnsiTheme="minorHAnsi"/>
              </w:rPr>
              <w:t xml:space="preserve">. </w:t>
            </w:r>
            <w:r w:rsidRPr="00A72B49">
              <w:rPr>
                <w:rFonts w:asciiTheme="minorHAnsi" w:hAnsiTheme="minorHAnsi"/>
              </w:rPr>
              <w:t xml:space="preserve">Please indicate below regarding </w:t>
            </w:r>
            <w:r w:rsidR="00FC6A50" w:rsidRPr="00A72B49">
              <w:rPr>
                <w:rFonts w:asciiTheme="minorHAnsi" w:hAnsiTheme="minorHAnsi"/>
              </w:rPr>
              <w:t>your technology requirements.</w:t>
            </w:r>
          </w:p>
        </w:tc>
      </w:tr>
      <w:tr w:rsidR="00FC6A50" w:rsidTr="00FC6A50">
        <w:trPr>
          <w:trHeight w:val="702"/>
        </w:trPr>
        <w:tc>
          <w:tcPr>
            <w:tcW w:w="2411" w:type="dxa"/>
            <w:gridSpan w:val="2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I will require...</w:t>
            </w: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tick as applicable</w:t>
            </w:r>
            <w:r w:rsidRPr="00A72B49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Data Projector</w:t>
            </w:r>
          </w:p>
        </w:tc>
        <w:tc>
          <w:tcPr>
            <w:tcW w:w="992" w:type="dxa"/>
          </w:tcPr>
          <w:p w:rsidR="00FC6A50" w:rsidRPr="00A72B49" w:rsidRDefault="00933A5C" w:rsidP="00FB5B0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Screen</w:t>
            </w:r>
          </w:p>
        </w:tc>
        <w:tc>
          <w:tcPr>
            <w:tcW w:w="1134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 </w:t>
            </w:r>
            <w:r w:rsidR="00933A5C">
              <w:rPr>
                <w:rFonts w:asciiTheme="minorHAnsi" w:hAnsiTheme="minorHAnsi"/>
              </w:rPr>
              <w:t>X</w:t>
            </w:r>
          </w:p>
        </w:tc>
      </w:tr>
    </w:tbl>
    <w:p w:rsidR="00496D4B" w:rsidRDefault="00496D4B" w:rsidP="00496D4B">
      <w:pPr>
        <w:ind w:left="0"/>
      </w:pPr>
      <w:bookmarkStart w:id="0" w:name="_GoBack"/>
      <w:bookmarkEnd w:id="0"/>
    </w:p>
    <w:sectPr w:rsidR="00496D4B" w:rsidSect="00C22D84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827"/>
    <w:multiLevelType w:val="hybridMultilevel"/>
    <w:tmpl w:val="1D5E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2666"/>
    <w:multiLevelType w:val="hybridMultilevel"/>
    <w:tmpl w:val="8BD6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4D15"/>
    <w:multiLevelType w:val="hybridMultilevel"/>
    <w:tmpl w:val="FD2C2F74"/>
    <w:lvl w:ilvl="0" w:tplc="6374AFF6">
      <w:start w:val="150"/>
      <w:numFmt w:val="bullet"/>
      <w:lvlText w:val="-"/>
      <w:lvlJc w:val="left"/>
      <w:pPr>
        <w:ind w:left="87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B"/>
    <w:rsid w:val="000113DC"/>
    <w:rsid w:val="000400C2"/>
    <w:rsid w:val="00053489"/>
    <w:rsid w:val="00112D44"/>
    <w:rsid w:val="00176BFC"/>
    <w:rsid w:val="002A0AFF"/>
    <w:rsid w:val="002F726A"/>
    <w:rsid w:val="00332853"/>
    <w:rsid w:val="003507D1"/>
    <w:rsid w:val="00360D2C"/>
    <w:rsid w:val="00386632"/>
    <w:rsid w:val="003F12C4"/>
    <w:rsid w:val="004765AE"/>
    <w:rsid w:val="00496D4B"/>
    <w:rsid w:val="0054725C"/>
    <w:rsid w:val="00630DAD"/>
    <w:rsid w:val="006E0A1A"/>
    <w:rsid w:val="006E3CE2"/>
    <w:rsid w:val="00703366"/>
    <w:rsid w:val="00791410"/>
    <w:rsid w:val="00855C2F"/>
    <w:rsid w:val="00861CB5"/>
    <w:rsid w:val="00871454"/>
    <w:rsid w:val="008A5671"/>
    <w:rsid w:val="008B60D5"/>
    <w:rsid w:val="008F50E6"/>
    <w:rsid w:val="00903CD5"/>
    <w:rsid w:val="00921B5D"/>
    <w:rsid w:val="00933A5C"/>
    <w:rsid w:val="009464DA"/>
    <w:rsid w:val="00A72B49"/>
    <w:rsid w:val="00AF7D67"/>
    <w:rsid w:val="00B44B1D"/>
    <w:rsid w:val="00B64280"/>
    <w:rsid w:val="00BB3F28"/>
    <w:rsid w:val="00C22D84"/>
    <w:rsid w:val="00C4444E"/>
    <w:rsid w:val="00C871EA"/>
    <w:rsid w:val="00CE3C8C"/>
    <w:rsid w:val="00DC4EA3"/>
    <w:rsid w:val="00DC766D"/>
    <w:rsid w:val="00DD1067"/>
    <w:rsid w:val="00E43D1A"/>
    <w:rsid w:val="00E76664"/>
    <w:rsid w:val="00EF08AA"/>
    <w:rsid w:val="00EF7A5D"/>
    <w:rsid w:val="00F1518C"/>
    <w:rsid w:val="00F81CDD"/>
    <w:rsid w:val="00FB5B0B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E5827-E936-4F57-9A90-9F97C2A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3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.murray@northamp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murray@northampton.ac.uk" TargetMode="External"/><Relationship Id="rId11" Type="http://schemas.openxmlformats.org/officeDocument/2006/relationships/hyperlink" Target="mailto:eholton@northamptonshir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ne.murray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murray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4EB665E9</Template>
  <TotalTime>58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EHolton</cp:lastModifiedBy>
  <cp:revision>5</cp:revision>
  <dcterms:created xsi:type="dcterms:W3CDTF">2017-09-19T09:46:00Z</dcterms:created>
  <dcterms:modified xsi:type="dcterms:W3CDTF">2017-09-25T16:06:00Z</dcterms:modified>
</cp:coreProperties>
</file>