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B2E9" w14:textId="764E1581" w:rsidR="00213486" w:rsidRDefault="00386394" w:rsidP="00213486">
      <w:pPr>
        <w:spacing w:after="0" w:line="276" w:lineRule="auto"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TACTYC</w:t>
      </w:r>
    </w:p>
    <w:p w14:paraId="56BB55A9" w14:textId="7815AA21" w:rsidR="00213486" w:rsidRDefault="00213486" w:rsidP="00213486">
      <w:pPr>
        <w:spacing w:after="0" w:line="276" w:lineRule="auto"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Paper:</w:t>
      </w:r>
    </w:p>
    <w:p w14:paraId="67CC42FF" w14:textId="3F6527A5" w:rsidR="00213486" w:rsidRDefault="00213486" w:rsidP="00213486">
      <w:pPr>
        <w:spacing w:after="0" w:line="276" w:lineRule="auto"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ITT Market Review Report</w:t>
      </w:r>
    </w:p>
    <w:p w14:paraId="26AEB5CA" w14:textId="54486348" w:rsidR="00213486" w:rsidRPr="00213486" w:rsidRDefault="00213486" w:rsidP="00213486">
      <w:pPr>
        <w:spacing w:after="0" w:line="276" w:lineRule="auto"/>
        <w:ind w:left="57" w:right="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2021</w:t>
      </w:r>
    </w:p>
    <w:p w14:paraId="4B2F9E33" w14:textId="1A60626E" w:rsidR="00213486" w:rsidRDefault="006E7A87" w:rsidP="006E7A87">
      <w:pPr>
        <w:spacing w:after="0" w:line="276" w:lineRule="auto"/>
        <w:ind w:left="57" w:right="57"/>
        <w:jc w:val="center"/>
      </w:pPr>
      <w:hyperlink r:id="rId5" w:history="1">
        <w:r w:rsidRPr="0016394A">
          <w:rPr>
            <w:rStyle w:val="Hyperlink"/>
          </w:rPr>
          <w:t>https://consult.education.gov.uk/itt-policy-unit/initial-teacher-training-itt-market-review-recomme/consultation/subpage.2021-06-03.4550510894/</w:t>
        </w:r>
      </w:hyperlink>
    </w:p>
    <w:p w14:paraId="4885C657" w14:textId="77777777" w:rsidR="006E7A87" w:rsidRDefault="006E7A87" w:rsidP="006E7A87">
      <w:pPr>
        <w:spacing w:after="0" w:line="276" w:lineRule="auto"/>
        <w:ind w:left="57" w:right="57"/>
        <w:jc w:val="center"/>
      </w:pPr>
    </w:p>
    <w:p w14:paraId="2D5847A0" w14:textId="77777777" w:rsidR="007C17B5" w:rsidRPr="007C17B5" w:rsidRDefault="00386394" w:rsidP="006E7A87">
      <w:pPr>
        <w:spacing w:after="0" w:line="276" w:lineRule="auto"/>
        <w:ind w:right="57"/>
        <w:rPr>
          <w:rFonts w:cstheme="minorHAnsi"/>
          <w:sz w:val="24"/>
          <w:szCs w:val="24"/>
        </w:rPr>
      </w:pPr>
      <w:r w:rsidRPr="007C17B5">
        <w:rPr>
          <w:rFonts w:cstheme="minorHAnsi"/>
          <w:sz w:val="24"/>
          <w:szCs w:val="24"/>
        </w:rPr>
        <w:t xml:space="preserve">TACTYC, the Professional Association for Early Years Education, </w:t>
      </w:r>
      <w:r w:rsidR="00213486" w:rsidRPr="007C17B5">
        <w:rPr>
          <w:rFonts w:cstheme="minorHAnsi"/>
          <w:sz w:val="24"/>
          <w:szCs w:val="24"/>
        </w:rPr>
        <w:t xml:space="preserve">is deeply </w:t>
      </w:r>
      <w:r w:rsidRPr="007C17B5">
        <w:rPr>
          <w:rFonts w:cstheme="minorHAnsi"/>
          <w:sz w:val="24"/>
          <w:szCs w:val="24"/>
        </w:rPr>
        <w:t>disappoint</w:t>
      </w:r>
      <w:r w:rsidR="00213486" w:rsidRPr="007C17B5">
        <w:rPr>
          <w:rFonts w:cstheme="minorHAnsi"/>
          <w:sz w:val="24"/>
          <w:szCs w:val="24"/>
        </w:rPr>
        <w:t xml:space="preserve">ed by the recommendations </w:t>
      </w:r>
      <w:r w:rsidRPr="007C17B5">
        <w:rPr>
          <w:rFonts w:cstheme="minorHAnsi"/>
          <w:sz w:val="24"/>
          <w:szCs w:val="24"/>
        </w:rPr>
        <w:t xml:space="preserve">proposed in </w:t>
      </w:r>
      <w:r w:rsidR="00213486" w:rsidRPr="007C17B5">
        <w:rPr>
          <w:rFonts w:cstheme="minorHAnsi"/>
          <w:sz w:val="24"/>
          <w:szCs w:val="24"/>
        </w:rPr>
        <w:t>the ITT Market Review</w:t>
      </w:r>
      <w:r w:rsidRPr="007C17B5">
        <w:rPr>
          <w:rFonts w:cstheme="minorHAnsi"/>
          <w:sz w:val="24"/>
          <w:szCs w:val="24"/>
        </w:rPr>
        <w:t>.  The majority of our Members are involved in initial and advanced teacher education and</w:t>
      </w:r>
      <w:r w:rsidR="007C17B5" w:rsidRPr="007C17B5">
        <w:rPr>
          <w:rFonts w:cstheme="minorHAnsi"/>
          <w:sz w:val="24"/>
          <w:szCs w:val="24"/>
        </w:rPr>
        <w:t xml:space="preserve"> in</w:t>
      </w:r>
      <w:r w:rsidRPr="007C17B5">
        <w:rPr>
          <w:rFonts w:cstheme="minorHAnsi"/>
          <w:sz w:val="24"/>
          <w:szCs w:val="24"/>
        </w:rPr>
        <w:t xml:space="preserve"> professional development</w:t>
      </w:r>
      <w:r w:rsidR="007C17B5" w:rsidRPr="007C17B5">
        <w:rPr>
          <w:rFonts w:cstheme="minorHAnsi"/>
          <w:sz w:val="24"/>
          <w:szCs w:val="24"/>
        </w:rPr>
        <w:t xml:space="preserve"> for early years educators</w:t>
      </w:r>
      <w:r w:rsidRPr="007C17B5">
        <w:rPr>
          <w:rFonts w:cstheme="minorHAnsi"/>
          <w:sz w:val="24"/>
          <w:szCs w:val="24"/>
        </w:rPr>
        <w:t xml:space="preserve">.  </w:t>
      </w:r>
    </w:p>
    <w:p w14:paraId="2D464AEC" w14:textId="77777777" w:rsidR="007C17B5" w:rsidRPr="007C17B5" w:rsidRDefault="007C17B5" w:rsidP="00213486">
      <w:pPr>
        <w:spacing w:after="0" w:line="276" w:lineRule="auto"/>
        <w:ind w:left="57" w:right="57"/>
        <w:rPr>
          <w:rFonts w:cstheme="minorHAnsi"/>
          <w:sz w:val="24"/>
          <w:szCs w:val="24"/>
        </w:rPr>
      </w:pPr>
    </w:p>
    <w:p w14:paraId="6E24422A" w14:textId="4D472D2E" w:rsidR="00386394" w:rsidRPr="007C17B5" w:rsidRDefault="00386394" w:rsidP="00213486">
      <w:pPr>
        <w:spacing w:after="0" w:line="276" w:lineRule="auto"/>
        <w:ind w:left="57" w:right="57"/>
        <w:rPr>
          <w:rFonts w:cstheme="minorHAnsi"/>
          <w:sz w:val="24"/>
          <w:szCs w:val="24"/>
        </w:rPr>
      </w:pPr>
      <w:r w:rsidRPr="007C17B5">
        <w:rPr>
          <w:rFonts w:cstheme="minorHAnsi"/>
          <w:sz w:val="24"/>
          <w:szCs w:val="24"/>
        </w:rPr>
        <w:t>We endorse the intention to improve</w:t>
      </w:r>
      <w:r w:rsidR="00213486" w:rsidRPr="007C17B5">
        <w:rPr>
          <w:rFonts w:cstheme="minorHAnsi"/>
          <w:sz w:val="24"/>
          <w:szCs w:val="24"/>
        </w:rPr>
        <w:t xml:space="preserve"> the quality of ITT provision, </w:t>
      </w:r>
      <w:r w:rsidRPr="007C17B5">
        <w:rPr>
          <w:rFonts w:cstheme="minorHAnsi"/>
          <w:sz w:val="24"/>
          <w:szCs w:val="24"/>
        </w:rPr>
        <w:t xml:space="preserve">but </w:t>
      </w:r>
      <w:r w:rsidR="00213486" w:rsidRPr="007C17B5">
        <w:rPr>
          <w:rFonts w:cstheme="minorHAnsi"/>
          <w:sz w:val="24"/>
          <w:szCs w:val="24"/>
        </w:rPr>
        <w:t>t</w:t>
      </w:r>
      <w:r w:rsidRPr="007C17B5">
        <w:rPr>
          <w:rFonts w:cstheme="minorHAnsi"/>
          <w:sz w:val="24"/>
          <w:szCs w:val="24"/>
        </w:rPr>
        <w:t xml:space="preserve">ake issue with the </w:t>
      </w:r>
      <w:r w:rsidR="00213486" w:rsidRPr="007C17B5">
        <w:rPr>
          <w:rFonts w:cstheme="minorHAnsi"/>
          <w:sz w:val="24"/>
          <w:szCs w:val="24"/>
        </w:rPr>
        <w:t>propos</w:t>
      </w:r>
      <w:r w:rsidRPr="007C17B5">
        <w:rPr>
          <w:rFonts w:cstheme="minorHAnsi"/>
          <w:sz w:val="24"/>
          <w:szCs w:val="24"/>
        </w:rPr>
        <w:t>als, which</w:t>
      </w:r>
      <w:r w:rsidR="00213486" w:rsidRPr="007C17B5">
        <w:rPr>
          <w:rFonts w:cstheme="minorHAnsi"/>
          <w:sz w:val="24"/>
          <w:szCs w:val="24"/>
        </w:rPr>
        <w:t xml:space="preserve"> are </w:t>
      </w:r>
      <w:r w:rsidRPr="007C17B5">
        <w:rPr>
          <w:rFonts w:cstheme="minorHAnsi"/>
          <w:sz w:val="24"/>
          <w:szCs w:val="24"/>
        </w:rPr>
        <w:t xml:space="preserve">highly questionable, </w:t>
      </w:r>
      <w:r w:rsidR="00213486" w:rsidRPr="007C17B5">
        <w:rPr>
          <w:rFonts w:cstheme="minorHAnsi"/>
          <w:sz w:val="24"/>
          <w:szCs w:val="24"/>
        </w:rPr>
        <w:t xml:space="preserve">and </w:t>
      </w:r>
      <w:r w:rsidRPr="007C17B5">
        <w:rPr>
          <w:rFonts w:cstheme="minorHAnsi"/>
          <w:sz w:val="24"/>
          <w:szCs w:val="24"/>
        </w:rPr>
        <w:t xml:space="preserve">potentially </w:t>
      </w:r>
      <w:r w:rsidR="00213486" w:rsidRPr="007C17B5">
        <w:rPr>
          <w:rFonts w:cstheme="minorHAnsi"/>
          <w:sz w:val="24"/>
          <w:szCs w:val="24"/>
        </w:rPr>
        <w:t xml:space="preserve">damaging to the </w:t>
      </w:r>
      <w:r w:rsidR="007C17B5" w:rsidRPr="007C17B5">
        <w:rPr>
          <w:rFonts w:cstheme="minorHAnsi"/>
          <w:sz w:val="24"/>
          <w:szCs w:val="24"/>
        </w:rPr>
        <w:t>training of early years professionals</w:t>
      </w:r>
      <w:r w:rsidR="00213486" w:rsidRPr="007C17B5">
        <w:rPr>
          <w:rFonts w:cstheme="minorHAnsi"/>
          <w:sz w:val="24"/>
          <w:szCs w:val="24"/>
        </w:rPr>
        <w:t xml:space="preserve">. </w:t>
      </w:r>
    </w:p>
    <w:p w14:paraId="4AAB5AAB" w14:textId="77777777" w:rsidR="00386394" w:rsidRPr="007C17B5" w:rsidRDefault="00386394" w:rsidP="00213486">
      <w:pPr>
        <w:spacing w:after="0" w:line="276" w:lineRule="auto"/>
        <w:ind w:left="57" w:right="57"/>
        <w:rPr>
          <w:rFonts w:cstheme="minorHAnsi"/>
          <w:sz w:val="24"/>
          <w:szCs w:val="24"/>
        </w:rPr>
      </w:pPr>
    </w:p>
    <w:p w14:paraId="6A664518" w14:textId="78F57749" w:rsidR="00213486" w:rsidRPr="007C17B5" w:rsidRDefault="00386394" w:rsidP="00213486">
      <w:pPr>
        <w:spacing w:after="0" w:line="276" w:lineRule="auto"/>
        <w:ind w:left="57" w:right="57"/>
        <w:rPr>
          <w:rFonts w:cstheme="minorHAnsi"/>
          <w:sz w:val="24"/>
          <w:szCs w:val="24"/>
        </w:rPr>
      </w:pPr>
      <w:r w:rsidRPr="007C17B5">
        <w:rPr>
          <w:rFonts w:cstheme="minorHAnsi"/>
          <w:sz w:val="24"/>
          <w:szCs w:val="24"/>
        </w:rPr>
        <w:t xml:space="preserve">The education system </w:t>
      </w:r>
      <w:r w:rsidR="007C17B5" w:rsidRPr="007C17B5">
        <w:rPr>
          <w:rFonts w:cstheme="minorHAnsi"/>
          <w:sz w:val="24"/>
          <w:szCs w:val="24"/>
        </w:rPr>
        <w:t xml:space="preserve">as a whole </w:t>
      </w:r>
      <w:r w:rsidRPr="007C17B5">
        <w:rPr>
          <w:rFonts w:cstheme="minorHAnsi"/>
          <w:sz w:val="24"/>
          <w:szCs w:val="24"/>
        </w:rPr>
        <w:t>is suffering severely from the impact of the COVID pandemic</w:t>
      </w:r>
      <w:r w:rsidR="00785A6A" w:rsidRPr="007C17B5">
        <w:rPr>
          <w:rFonts w:cstheme="minorHAnsi"/>
          <w:sz w:val="24"/>
          <w:szCs w:val="24"/>
        </w:rPr>
        <w:t xml:space="preserve">; </w:t>
      </w:r>
      <w:r w:rsidRPr="007C17B5">
        <w:rPr>
          <w:rFonts w:cstheme="minorHAnsi"/>
          <w:sz w:val="24"/>
          <w:szCs w:val="24"/>
        </w:rPr>
        <w:t>the timing of the consultation process</w:t>
      </w:r>
      <w:r w:rsidR="007C17B5" w:rsidRPr="007C17B5">
        <w:rPr>
          <w:rFonts w:cstheme="minorHAnsi"/>
          <w:sz w:val="24"/>
          <w:szCs w:val="24"/>
        </w:rPr>
        <w:t xml:space="preserve"> is not helpful as it is to take place</w:t>
      </w:r>
      <w:r w:rsidRPr="007C17B5">
        <w:rPr>
          <w:rFonts w:cstheme="minorHAnsi"/>
          <w:sz w:val="24"/>
          <w:szCs w:val="24"/>
        </w:rPr>
        <w:t xml:space="preserve"> over the summer when schools </w:t>
      </w:r>
      <w:r w:rsidR="007C17B5" w:rsidRPr="007C17B5">
        <w:rPr>
          <w:rFonts w:cstheme="minorHAnsi"/>
          <w:sz w:val="24"/>
          <w:szCs w:val="24"/>
        </w:rPr>
        <w:t xml:space="preserve">and many settings, including FE and HE colleges, </w:t>
      </w:r>
      <w:r w:rsidRPr="007C17B5">
        <w:rPr>
          <w:rFonts w:cstheme="minorHAnsi"/>
          <w:sz w:val="24"/>
          <w:szCs w:val="24"/>
        </w:rPr>
        <w:t>are closed</w:t>
      </w:r>
      <w:r w:rsidR="007C17B5" w:rsidRPr="007C17B5">
        <w:rPr>
          <w:rFonts w:cstheme="minorHAnsi"/>
          <w:sz w:val="24"/>
          <w:szCs w:val="24"/>
        </w:rPr>
        <w:t>.</w:t>
      </w:r>
      <w:r w:rsidR="00213486" w:rsidRPr="007C17B5">
        <w:rPr>
          <w:rFonts w:cstheme="minorHAnsi"/>
          <w:sz w:val="24"/>
          <w:szCs w:val="24"/>
        </w:rPr>
        <w:t xml:space="preserve"> </w:t>
      </w:r>
      <w:r w:rsidR="007C17B5" w:rsidRPr="007C17B5">
        <w:rPr>
          <w:rFonts w:cstheme="minorHAnsi"/>
          <w:sz w:val="24"/>
          <w:szCs w:val="24"/>
        </w:rPr>
        <w:t xml:space="preserve"> W</w:t>
      </w:r>
      <w:r w:rsidR="00213486" w:rsidRPr="007C17B5">
        <w:rPr>
          <w:rFonts w:cstheme="minorHAnsi"/>
          <w:sz w:val="24"/>
          <w:szCs w:val="24"/>
        </w:rPr>
        <w:t>e would urge the government to</w:t>
      </w:r>
      <w:r w:rsidR="007C17B5" w:rsidRPr="007C17B5">
        <w:rPr>
          <w:rFonts w:cstheme="minorHAnsi"/>
          <w:sz w:val="24"/>
          <w:szCs w:val="24"/>
        </w:rPr>
        <w:t xml:space="preserve"> plan for</w:t>
      </w:r>
      <w:r w:rsidR="00213486" w:rsidRPr="007C17B5">
        <w:rPr>
          <w:rFonts w:cstheme="minorHAnsi"/>
          <w:sz w:val="24"/>
          <w:szCs w:val="24"/>
        </w:rPr>
        <w:t xml:space="preserve"> a </w:t>
      </w:r>
      <w:r w:rsidR="007C17B5" w:rsidRPr="007C17B5">
        <w:rPr>
          <w:rFonts w:cstheme="minorHAnsi"/>
          <w:sz w:val="24"/>
          <w:szCs w:val="24"/>
        </w:rPr>
        <w:t xml:space="preserve">more realistic and </w:t>
      </w:r>
      <w:r w:rsidR="00213486" w:rsidRPr="007C17B5">
        <w:rPr>
          <w:rFonts w:cstheme="minorHAnsi"/>
          <w:sz w:val="24"/>
          <w:szCs w:val="24"/>
        </w:rPr>
        <w:t>genuine process of consultation with all the stakeholders concerned.</w:t>
      </w:r>
      <w:r w:rsidR="007C17B5">
        <w:rPr>
          <w:rFonts w:cstheme="minorHAnsi"/>
          <w:sz w:val="24"/>
          <w:szCs w:val="24"/>
        </w:rPr>
        <w:t xml:space="preserve">  The system is not likely to benefit from a poorly timed and rushed process of consultation.</w:t>
      </w:r>
    </w:p>
    <w:p w14:paraId="70758E58" w14:textId="77777777" w:rsidR="00213486" w:rsidRPr="00213486" w:rsidRDefault="00213486" w:rsidP="00213486">
      <w:pPr>
        <w:spacing w:after="0" w:line="276" w:lineRule="auto"/>
        <w:ind w:left="57" w:right="57"/>
        <w:rPr>
          <w:rFonts w:cstheme="minorHAnsi"/>
          <w:sz w:val="24"/>
          <w:szCs w:val="24"/>
        </w:rPr>
      </w:pPr>
    </w:p>
    <w:p w14:paraId="0A314FB3" w14:textId="3A170A45" w:rsidR="00196750" w:rsidRDefault="007C17B5" w:rsidP="00196750">
      <w:pPr>
        <w:spacing w:after="0" w:line="276" w:lineRule="auto"/>
        <w:ind w:left="57" w:righ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Given that existing HEI provision is rated good or outstanding by Ofsted, it is hard to justify </w:t>
      </w:r>
      <w:r w:rsidR="00213486" w:rsidRPr="00213486">
        <w:rPr>
          <w:rFonts w:cstheme="minorHAnsi"/>
          <w:sz w:val="24"/>
          <w:szCs w:val="24"/>
        </w:rPr>
        <w:t xml:space="preserve">the fundamental assumption that current </w:t>
      </w:r>
      <w:r w:rsidR="00213486" w:rsidRPr="00196750">
        <w:rPr>
          <w:rFonts w:cstheme="minorHAnsi"/>
          <w:sz w:val="24"/>
          <w:szCs w:val="24"/>
        </w:rPr>
        <w:t>structures and partnerships</w:t>
      </w:r>
      <w:r w:rsidR="00213486" w:rsidRPr="00213486">
        <w:rPr>
          <w:rFonts w:cstheme="minorHAnsi"/>
          <w:i/>
          <w:iCs/>
          <w:sz w:val="24"/>
          <w:szCs w:val="24"/>
        </w:rPr>
        <w:t xml:space="preserve"> </w:t>
      </w:r>
      <w:r w:rsidR="00196750">
        <w:rPr>
          <w:rFonts w:cstheme="minorHAnsi"/>
          <w:sz w:val="24"/>
          <w:szCs w:val="24"/>
        </w:rPr>
        <w:t xml:space="preserve">need </w:t>
      </w:r>
      <w:r w:rsidR="00213486" w:rsidRPr="00213486">
        <w:rPr>
          <w:rFonts w:cstheme="minorHAnsi"/>
          <w:sz w:val="24"/>
          <w:szCs w:val="24"/>
        </w:rPr>
        <w:t>significant improvement</w:t>
      </w:r>
      <w:r w:rsidR="00213486" w:rsidRPr="00213486">
        <w:rPr>
          <w:rFonts w:cstheme="minorHAnsi"/>
          <w:i/>
          <w:iCs/>
          <w:sz w:val="24"/>
          <w:szCs w:val="24"/>
        </w:rPr>
        <w:t xml:space="preserve">. </w:t>
      </w:r>
      <w:r w:rsidR="00196750">
        <w:rPr>
          <w:rFonts w:cstheme="minorHAnsi"/>
          <w:sz w:val="24"/>
          <w:szCs w:val="24"/>
        </w:rPr>
        <w:t>There has been good p</w:t>
      </w:r>
      <w:r w:rsidR="00213486" w:rsidRPr="00213486">
        <w:rPr>
          <w:rFonts w:cstheme="minorHAnsi"/>
          <w:sz w:val="24"/>
          <w:szCs w:val="24"/>
        </w:rPr>
        <w:t xml:space="preserve">rogress </w:t>
      </w:r>
      <w:r w:rsidR="00196750">
        <w:rPr>
          <w:rFonts w:cstheme="minorHAnsi"/>
          <w:sz w:val="24"/>
          <w:szCs w:val="24"/>
        </w:rPr>
        <w:t>in</w:t>
      </w:r>
      <w:r w:rsidR="00213486" w:rsidRPr="00213486">
        <w:rPr>
          <w:rFonts w:cstheme="minorHAnsi"/>
          <w:sz w:val="24"/>
          <w:szCs w:val="24"/>
        </w:rPr>
        <w:t xml:space="preserve"> develop</w:t>
      </w:r>
      <w:r w:rsidR="00196750">
        <w:rPr>
          <w:rFonts w:cstheme="minorHAnsi"/>
          <w:sz w:val="24"/>
          <w:szCs w:val="24"/>
        </w:rPr>
        <w:t>ing</w:t>
      </w:r>
      <w:r w:rsidR="00213486" w:rsidRPr="00213486">
        <w:rPr>
          <w:rFonts w:cstheme="minorHAnsi"/>
          <w:sz w:val="24"/>
          <w:szCs w:val="24"/>
        </w:rPr>
        <w:t xml:space="preserve"> close partnerships </w:t>
      </w:r>
      <w:r w:rsidR="00196750">
        <w:rPr>
          <w:rFonts w:cstheme="minorHAnsi"/>
          <w:sz w:val="24"/>
          <w:szCs w:val="24"/>
        </w:rPr>
        <w:t>between universities and</w:t>
      </w:r>
      <w:r w:rsidR="00213486" w:rsidRPr="00213486">
        <w:rPr>
          <w:rFonts w:cstheme="minorHAnsi"/>
          <w:sz w:val="24"/>
          <w:szCs w:val="24"/>
        </w:rPr>
        <w:t xml:space="preserve"> schools</w:t>
      </w:r>
      <w:r w:rsidR="00196750">
        <w:rPr>
          <w:rFonts w:cstheme="minorHAnsi"/>
          <w:sz w:val="24"/>
          <w:szCs w:val="24"/>
        </w:rPr>
        <w:t>/settings</w:t>
      </w:r>
      <w:r w:rsidR="00213486" w:rsidRPr="00213486">
        <w:rPr>
          <w:rFonts w:cstheme="minorHAnsi"/>
          <w:sz w:val="24"/>
          <w:szCs w:val="24"/>
        </w:rPr>
        <w:t xml:space="preserve">. </w:t>
      </w:r>
      <w:r w:rsidR="00196750">
        <w:rPr>
          <w:rFonts w:cstheme="minorHAnsi"/>
          <w:b/>
          <w:bCs/>
          <w:sz w:val="24"/>
          <w:szCs w:val="24"/>
        </w:rPr>
        <w:t xml:space="preserve"> </w:t>
      </w:r>
      <w:r w:rsidR="00213486" w:rsidRPr="00213486">
        <w:rPr>
          <w:rFonts w:cstheme="minorHAnsi"/>
          <w:sz w:val="24"/>
          <w:szCs w:val="24"/>
        </w:rPr>
        <w:t>The implications</w:t>
      </w:r>
      <w:r w:rsidR="00213486">
        <w:rPr>
          <w:rFonts w:cstheme="minorHAnsi"/>
          <w:sz w:val="24"/>
          <w:szCs w:val="24"/>
        </w:rPr>
        <w:t xml:space="preserve"> </w:t>
      </w:r>
      <w:r w:rsidR="00213486" w:rsidRPr="00213486">
        <w:rPr>
          <w:rFonts w:cstheme="minorHAnsi"/>
          <w:sz w:val="24"/>
          <w:szCs w:val="24"/>
        </w:rPr>
        <w:t>of this major overhaul</w:t>
      </w:r>
      <w:r w:rsidR="00213486">
        <w:rPr>
          <w:rFonts w:cstheme="minorHAnsi"/>
          <w:sz w:val="24"/>
          <w:szCs w:val="24"/>
        </w:rPr>
        <w:t xml:space="preserve"> </w:t>
      </w:r>
      <w:r w:rsidR="00213486" w:rsidRPr="00213486">
        <w:rPr>
          <w:rFonts w:cstheme="minorHAnsi"/>
          <w:sz w:val="24"/>
          <w:szCs w:val="24"/>
        </w:rPr>
        <w:t>would be seriously damaging at the best of times, but in the context of the aftermath of the pandemic and the need for</w:t>
      </w:r>
      <w:r w:rsidR="00196750">
        <w:rPr>
          <w:rFonts w:cstheme="minorHAnsi"/>
          <w:sz w:val="24"/>
          <w:szCs w:val="24"/>
        </w:rPr>
        <w:t xml:space="preserve"> educational recovery</w:t>
      </w:r>
      <w:r w:rsidR="00213486" w:rsidRPr="00213486">
        <w:rPr>
          <w:rFonts w:cstheme="minorHAnsi"/>
          <w:i/>
          <w:iCs/>
          <w:sz w:val="24"/>
          <w:szCs w:val="24"/>
        </w:rPr>
        <w:t>,</w:t>
      </w:r>
      <w:r w:rsidR="00196750">
        <w:rPr>
          <w:rFonts w:cstheme="minorHAnsi"/>
          <w:i/>
          <w:iCs/>
          <w:sz w:val="24"/>
          <w:szCs w:val="24"/>
        </w:rPr>
        <w:t xml:space="preserve"> </w:t>
      </w:r>
      <w:r w:rsidR="00213486" w:rsidRPr="00213486">
        <w:rPr>
          <w:rFonts w:cstheme="minorHAnsi"/>
          <w:sz w:val="24"/>
          <w:szCs w:val="24"/>
        </w:rPr>
        <w:t xml:space="preserve">they </w:t>
      </w:r>
      <w:r w:rsidR="00196750">
        <w:rPr>
          <w:rFonts w:cstheme="minorHAnsi"/>
          <w:sz w:val="24"/>
          <w:szCs w:val="24"/>
        </w:rPr>
        <w:t>w</w:t>
      </w:r>
      <w:r w:rsidR="00213486">
        <w:rPr>
          <w:rFonts w:cstheme="minorHAnsi"/>
          <w:sz w:val="24"/>
          <w:szCs w:val="24"/>
        </w:rPr>
        <w:t xml:space="preserve">ould </w:t>
      </w:r>
      <w:r w:rsidR="00B00822">
        <w:rPr>
          <w:rFonts w:cstheme="minorHAnsi"/>
          <w:sz w:val="24"/>
          <w:szCs w:val="24"/>
        </w:rPr>
        <w:t xml:space="preserve">also </w:t>
      </w:r>
      <w:r w:rsidR="00213486">
        <w:rPr>
          <w:rFonts w:cstheme="minorHAnsi"/>
          <w:sz w:val="24"/>
          <w:szCs w:val="24"/>
        </w:rPr>
        <w:t>be</w:t>
      </w:r>
      <w:r w:rsidR="00213486" w:rsidRPr="00213486">
        <w:rPr>
          <w:rFonts w:cstheme="minorHAnsi"/>
          <w:sz w:val="24"/>
          <w:szCs w:val="24"/>
        </w:rPr>
        <w:t xml:space="preserve"> </w:t>
      </w:r>
      <w:r w:rsidR="00196750">
        <w:rPr>
          <w:rFonts w:cstheme="minorHAnsi"/>
          <w:sz w:val="24"/>
          <w:szCs w:val="24"/>
        </w:rPr>
        <w:t>a serious distraction</w:t>
      </w:r>
      <w:r w:rsidR="00213486" w:rsidRPr="00213486">
        <w:rPr>
          <w:rFonts w:cstheme="minorHAnsi"/>
          <w:sz w:val="24"/>
          <w:szCs w:val="24"/>
        </w:rPr>
        <w:t>.</w:t>
      </w:r>
    </w:p>
    <w:p w14:paraId="04610CDC" w14:textId="6F617E25" w:rsidR="00EB2EAC" w:rsidRPr="00196750" w:rsidRDefault="00EB2EAC" w:rsidP="00196750">
      <w:pPr>
        <w:spacing w:after="0" w:line="276" w:lineRule="auto"/>
        <w:ind w:left="57" w:right="57"/>
        <w:rPr>
          <w:rFonts w:cstheme="minorHAnsi"/>
          <w:sz w:val="24"/>
          <w:szCs w:val="24"/>
        </w:rPr>
      </w:pPr>
      <w:r w:rsidRPr="00EB2EAC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 </w:t>
      </w:r>
    </w:p>
    <w:p w14:paraId="1A371364" w14:textId="4F7E5B99" w:rsidR="00EB2EAC" w:rsidRDefault="00EB2EAC" w:rsidP="00EB2EAC">
      <w:pPr>
        <w:shd w:val="clear" w:color="auto" w:fill="FFFFFF"/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EB2EAC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The p</w:t>
      </w:r>
      <w:r w:rsidR="00196750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roposals are</w:t>
      </w:r>
      <w:r w:rsidRPr="00EB2EAC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unhelpful and risk significant disruption to a sector that is currently meeting the requirements of trainees, school partnerships and national priorities </w:t>
      </w:r>
      <w:r w:rsidR="00196750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very effectively</w:t>
      </w:r>
      <w:r w:rsidRPr="00EB2EAC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14:paraId="3D8CEB40" w14:textId="17060B7F" w:rsidR="00196750" w:rsidRPr="00B00822" w:rsidRDefault="006E7A87" w:rsidP="00EB2EAC">
      <w:pPr>
        <w:shd w:val="clear" w:color="auto" w:fill="FFFFFF"/>
        <w:spacing w:after="375" w:line="240" w:lineRule="auto"/>
        <w:rPr>
          <w:rFonts w:eastAsia="Times New Roman" w:cstheme="minorHAnsi"/>
          <w:color w:val="222222"/>
          <w:spacing w:val="3"/>
          <w:sz w:val="24"/>
          <w:szCs w:val="24"/>
          <w:lang w:eastAsia="en-GB"/>
        </w:rPr>
      </w:pPr>
      <w:r w:rsidRPr="00B00822">
        <w:rPr>
          <w:rFonts w:cstheme="minorHAnsi"/>
          <w:sz w:val="24"/>
          <w:szCs w:val="24"/>
        </w:rPr>
        <w:t>Of course,</w:t>
      </w:r>
      <w:bookmarkStart w:id="0" w:name="_GoBack"/>
      <w:bookmarkEnd w:id="0"/>
      <w:r w:rsidR="00196750" w:rsidRPr="00B00822">
        <w:rPr>
          <w:rFonts w:cstheme="minorHAnsi"/>
          <w:sz w:val="24"/>
          <w:szCs w:val="24"/>
        </w:rPr>
        <w:t xml:space="preserve"> there needs to be a degree of consistency in the range of experiences on offer on placements across different </w:t>
      </w:r>
      <w:r w:rsidR="00445E2B" w:rsidRPr="00B00822">
        <w:rPr>
          <w:rFonts w:cstheme="minorHAnsi"/>
          <w:sz w:val="24"/>
          <w:szCs w:val="24"/>
        </w:rPr>
        <w:t xml:space="preserve">schools and </w:t>
      </w:r>
      <w:r w:rsidR="00196750" w:rsidRPr="00B00822">
        <w:rPr>
          <w:rFonts w:cstheme="minorHAnsi"/>
          <w:sz w:val="24"/>
          <w:szCs w:val="24"/>
        </w:rPr>
        <w:t xml:space="preserve">settings, but that is very different from the top-down model proposed for ITT, which views teaching in essentially technocratic terms, </w:t>
      </w:r>
      <w:r w:rsidR="00445E2B" w:rsidRPr="00B00822">
        <w:rPr>
          <w:rFonts w:cstheme="minorHAnsi"/>
          <w:sz w:val="24"/>
          <w:szCs w:val="24"/>
        </w:rPr>
        <w:t>with little acknowledgement of</w:t>
      </w:r>
      <w:r w:rsidR="00196750" w:rsidRPr="00B00822">
        <w:rPr>
          <w:rFonts w:cstheme="minorHAnsi"/>
          <w:sz w:val="24"/>
          <w:szCs w:val="24"/>
        </w:rPr>
        <w:t xml:space="preserve"> the principles behind professional autonomy</w:t>
      </w:r>
      <w:r w:rsidR="00057532" w:rsidRPr="00B00822">
        <w:rPr>
          <w:rFonts w:cstheme="minorHAnsi"/>
          <w:sz w:val="24"/>
          <w:szCs w:val="24"/>
        </w:rPr>
        <w:t xml:space="preserve">, </w:t>
      </w:r>
      <w:r w:rsidR="00196750" w:rsidRPr="00B00822">
        <w:rPr>
          <w:rFonts w:cstheme="minorHAnsi"/>
          <w:sz w:val="24"/>
          <w:szCs w:val="24"/>
        </w:rPr>
        <w:t xml:space="preserve">critical </w:t>
      </w:r>
      <w:r w:rsidR="00445E2B" w:rsidRPr="00B00822">
        <w:rPr>
          <w:rFonts w:cstheme="minorHAnsi"/>
          <w:sz w:val="24"/>
          <w:szCs w:val="24"/>
        </w:rPr>
        <w:t>judgement,</w:t>
      </w:r>
      <w:r w:rsidR="00057532" w:rsidRPr="00B00822">
        <w:rPr>
          <w:rFonts w:cstheme="minorHAnsi"/>
          <w:sz w:val="24"/>
          <w:szCs w:val="24"/>
        </w:rPr>
        <w:t xml:space="preserve"> and the essential awareness of individual differences and needs that are not negotiable in the early years.  The intention appears to be that professional judgement should be replaced by a centrally defined curriculum, which is particularly damaging in relation to the teaching of reading. </w:t>
      </w:r>
    </w:p>
    <w:p w14:paraId="51AD94E5" w14:textId="76E19E89" w:rsidR="00213486" w:rsidRDefault="00213486" w:rsidP="006E7A87">
      <w:pPr>
        <w:spacing w:after="0" w:line="276" w:lineRule="auto"/>
        <w:ind w:right="57"/>
        <w:rPr>
          <w:rFonts w:cstheme="minorHAnsi"/>
          <w:sz w:val="24"/>
          <w:szCs w:val="24"/>
        </w:rPr>
      </w:pPr>
      <w:r w:rsidRPr="00213486">
        <w:rPr>
          <w:rFonts w:cstheme="minorHAnsi"/>
          <w:sz w:val="24"/>
          <w:szCs w:val="24"/>
        </w:rPr>
        <w:lastRenderedPageBreak/>
        <w:t>The Review’s orientation towards the teaching of reading</w:t>
      </w:r>
      <w:r w:rsidR="00572A9A">
        <w:rPr>
          <w:rFonts w:cstheme="minorHAnsi"/>
          <w:sz w:val="24"/>
          <w:szCs w:val="24"/>
        </w:rPr>
        <w:t xml:space="preserve"> enforc</w:t>
      </w:r>
      <w:r w:rsidR="00445E2B">
        <w:rPr>
          <w:rFonts w:cstheme="minorHAnsi"/>
          <w:sz w:val="24"/>
          <w:szCs w:val="24"/>
        </w:rPr>
        <w:t xml:space="preserve">es </w:t>
      </w:r>
      <w:r w:rsidR="00572A9A">
        <w:rPr>
          <w:rFonts w:cstheme="minorHAnsi"/>
          <w:sz w:val="24"/>
          <w:szCs w:val="24"/>
        </w:rPr>
        <w:t xml:space="preserve">what has been </w:t>
      </w:r>
      <w:r w:rsidR="00445E2B">
        <w:rPr>
          <w:rFonts w:cstheme="minorHAnsi"/>
          <w:sz w:val="24"/>
          <w:szCs w:val="24"/>
        </w:rPr>
        <w:t>government policy over many years; the</w:t>
      </w:r>
      <w:r w:rsidRPr="00213486">
        <w:rPr>
          <w:rFonts w:cstheme="minorHAnsi"/>
          <w:sz w:val="24"/>
          <w:szCs w:val="24"/>
        </w:rPr>
        <w:t xml:space="preserve"> rhetoric </w:t>
      </w:r>
      <w:r w:rsidR="00445E2B">
        <w:rPr>
          <w:rFonts w:cstheme="minorHAnsi"/>
          <w:sz w:val="24"/>
          <w:szCs w:val="24"/>
        </w:rPr>
        <w:t>relies on limited evidence, and ignores wider knowledge, based on research as well as experience</w:t>
      </w:r>
      <w:r w:rsidR="00572A9A">
        <w:rPr>
          <w:rFonts w:cstheme="minorHAnsi"/>
          <w:sz w:val="24"/>
          <w:szCs w:val="24"/>
        </w:rPr>
        <w:t>.  I</w:t>
      </w:r>
      <w:r w:rsidR="00445E2B">
        <w:rPr>
          <w:rFonts w:cstheme="minorHAnsi"/>
          <w:sz w:val="24"/>
          <w:szCs w:val="24"/>
        </w:rPr>
        <w:t xml:space="preserve">t does not </w:t>
      </w:r>
      <w:r w:rsidRPr="00213486">
        <w:rPr>
          <w:rFonts w:cstheme="minorHAnsi"/>
          <w:sz w:val="24"/>
          <w:szCs w:val="24"/>
        </w:rPr>
        <w:t>respect the professional</w:t>
      </w:r>
      <w:r w:rsidR="00445E2B">
        <w:rPr>
          <w:rFonts w:cstheme="minorHAnsi"/>
          <w:sz w:val="24"/>
          <w:szCs w:val="24"/>
        </w:rPr>
        <w:t xml:space="preserve">ism and experience </w:t>
      </w:r>
      <w:r w:rsidRPr="00213486">
        <w:rPr>
          <w:rFonts w:cstheme="minorHAnsi"/>
          <w:sz w:val="24"/>
          <w:szCs w:val="24"/>
        </w:rPr>
        <w:t xml:space="preserve">of </w:t>
      </w:r>
      <w:r w:rsidR="006E7A87" w:rsidRPr="00213486">
        <w:rPr>
          <w:rFonts w:cstheme="minorHAnsi"/>
          <w:sz w:val="24"/>
          <w:szCs w:val="24"/>
        </w:rPr>
        <w:t>teacher</w:t>
      </w:r>
      <w:r w:rsidR="006E7A87">
        <w:rPr>
          <w:rFonts w:cstheme="minorHAnsi"/>
          <w:sz w:val="24"/>
          <w:szCs w:val="24"/>
        </w:rPr>
        <w:t>s and</w:t>
      </w:r>
      <w:r w:rsidRPr="00213486">
        <w:rPr>
          <w:rFonts w:cstheme="minorHAnsi"/>
          <w:sz w:val="24"/>
          <w:szCs w:val="24"/>
        </w:rPr>
        <w:t xml:space="preserve"> </w:t>
      </w:r>
      <w:r w:rsidR="00A8708B">
        <w:rPr>
          <w:rFonts w:cstheme="minorHAnsi"/>
          <w:sz w:val="24"/>
          <w:szCs w:val="24"/>
        </w:rPr>
        <w:t>over-simplifies the</w:t>
      </w:r>
      <w:r w:rsidRPr="00213486">
        <w:rPr>
          <w:rFonts w:cstheme="minorHAnsi"/>
          <w:sz w:val="24"/>
          <w:szCs w:val="24"/>
        </w:rPr>
        <w:t xml:space="preserve"> complexities of the reading process. The assertion that trainees should be</w:t>
      </w:r>
      <w:r w:rsidRPr="00213486">
        <w:rPr>
          <w:rFonts w:cstheme="minorHAnsi"/>
          <w:i/>
          <w:iCs/>
          <w:sz w:val="24"/>
          <w:szCs w:val="24"/>
        </w:rPr>
        <w:t xml:space="preserve"> familiarised with the evidence for the effectiveness of </w:t>
      </w:r>
      <w:r w:rsidR="00A8708B">
        <w:rPr>
          <w:rFonts w:cstheme="minorHAnsi"/>
          <w:i/>
          <w:iCs/>
          <w:sz w:val="24"/>
          <w:szCs w:val="24"/>
        </w:rPr>
        <w:t>SSP (S</w:t>
      </w:r>
      <w:r w:rsidRPr="00213486">
        <w:rPr>
          <w:rFonts w:cstheme="minorHAnsi"/>
          <w:i/>
          <w:iCs/>
          <w:sz w:val="24"/>
          <w:szCs w:val="24"/>
        </w:rPr>
        <w:t xml:space="preserve">ystematic </w:t>
      </w:r>
      <w:r w:rsidR="00A8708B">
        <w:rPr>
          <w:rFonts w:cstheme="minorHAnsi"/>
          <w:i/>
          <w:iCs/>
          <w:sz w:val="24"/>
          <w:szCs w:val="24"/>
        </w:rPr>
        <w:t>S</w:t>
      </w:r>
      <w:r w:rsidRPr="00213486">
        <w:rPr>
          <w:rFonts w:cstheme="minorHAnsi"/>
          <w:i/>
          <w:iCs/>
          <w:sz w:val="24"/>
          <w:szCs w:val="24"/>
        </w:rPr>
        <w:t xml:space="preserve">ynthetic </w:t>
      </w:r>
      <w:r w:rsidR="00A8708B">
        <w:rPr>
          <w:rFonts w:cstheme="minorHAnsi"/>
          <w:i/>
          <w:iCs/>
          <w:sz w:val="24"/>
          <w:szCs w:val="24"/>
        </w:rPr>
        <w:t>P</w:t>
      </w:r>
      <w:r w:rsidRPr="00213486">
        <w:rPr>
          <w:rFonts w:cstheme="minorHAnsi"/>
          <w:i/>
          <w:iCs/>
          <w:sz w:val="24"/>
          <w:szCs w:val="24"/>
        </w:rPr>
        <w:t>honics</w:t>
      </w:r>
      <w:r w:rsidR="00A8708B">
        <w:rPr>
          <w:rFonts w:cstheme="minorHAnsi"/>
          <w:i/>
          <w:iCs/>
          <w:sz w:val="24"/>
          <w:szCs w:val="24"/>
        </w:rPr>
        <w:t>)</w:t>
      </w:r>
      <w:r w:rsidRPr="00213486">
        <w:rPr>
          <w:rFonts w:cstheme="minorHAnsi"/>
          <w:sz w:val="24"/>
          <w:szCs w:val="24"/>
        </w:rPr>
        <w:t xml:space="preserve"> </w:t>
      </w:r>
      <w:r w:rsidRPr="00C74D9C">
        <w:rPr>
          <w:rFonts w:cstheme="minorHAnsi"/>
          <w:sz w:val="24"/>
          <w:szCs w:val="24"/>
        </w:rPr>
        <w:t>and</w:t>
      </w:r>
      <w:r w:rsidRPr="00213486">
        <w:rPr>
          <w:rFonts w:cstheme="minorHAnsi"/>
          <w:i/>
          <w:iCs/>
          <w:sz w:val="24"/>
          <w:szCs w:val="24"/>
        </w:rPr>
        <w:t xml:space="preserve"> that</w:t>
      </w:r>
      <w:r w:rsidRPr="00213486">
        <w:rPr>
          <w:rFonts w:cstheme="minorHAnsi"/>
          <w:sz w:val="24"/>
          <w:szCs w:val="24"/>
        </w:rPr>
        <w:t xml:space="preserve"> </w:t>
      </w:r>
      <w:r w:rsidRPr="00213486">
        <w:rPr>
          <w:rFonts w:cstheme="minorHAnsi"/>
          <w:i/>
          <w:iCs/>
          <w:sz w:val="24"/>
          <w:szCs w:val="24"/>
        </w:rPr>
        <w:t>time is not used teaching them alternative approaches</w:t>
      </w:r>
      <w:r w:rsidR="00A8708B">
        <w:rPr>
          <w:rFonts w:cstheme="minorHAnsi"/>
          <w:sz w:val="24"/>
          <w:szCs w:val="24"/>
        </w:rPr>
        <w:t xml:space="preserve"> is less than helpful in the early years, when children come to nursery with very wide differences in their experience of spoken as well as written </w:t>
      </w:r>
      <w:r w:rsidR="003A5446">
        <w:rPr>
          <w:rFonts w:cstheme="minorHAnsi"/>
          <w:sz w:val="24"/>
          <w:szCs w:val="24"/>
        </w:rPr>
        <w:t>English</w:t>
      </w:r>
      <w:r w:rsidRPr="00213486">
        <w:rPr>
          <w:rFonts w:cstheme="minorHAnsi"/>
          <w:i/>
          <w:iCs/>
          <w:sz w:val="24"/>
          <w:szCs w:val="24"/>
        </w:rPr>
        <w:t>.</w:t>
      </w:r>
      <w:r w:rsidRPr="00213486">
        <w:rPr>
          <w:rFonts w:cstheme="minorHAnsi"/>
          <w:sz w:val="24"/>
          <w:szCs w:val="24"/>
        </w:rPr>
        <w:t xml:space="preserve"> </w:t>
      </w:r>
      <w:r w:rsidR="00A8708B">
        <w:rPr>
          <w:rFonts w:cstheme="minorHAnsi"/>
          <w:b/>
          <w:bCs/>
          <w:sz w:val="24"/>
          <w:szCs w:val="24"/>
        </w:rPr>
        <w:t xml:space="preserve"> </w:t>
      </w:r>
      <w:r w:rsidR="00A8708B" w:rsidRPr="00A8708B">
        <w:rPr>
          <w:rFonts w:cstheme="minorHAnsi"/>
          <w:sz w:val="24"/>
          <w:szCs w:val="24"/>
        </w:rPr>
        <w:t>Phonetic</w:t>
      </w:r>
      <w:r w:rsidRPr="00A8708B">
        <w:rPr>
          <w:rFonts w:cstheme="minorHAnsi"/>
          <w:sz w:val="24"/>
          <w:szCs w:val="24"/>
        </w:rPr>
        <w:t xml:space="preserve"> decoding </w:t>
      </w:r>
      <w:r w:rsidR="00A8708B">
        <w:rPr>
          <w:rFonts w:cstheme="minorHAnsi"/>
          <w:sz w:val="24"/>
          <w:szCs w:val="24"/>
        </w:rPr>
        <w:t>certainly has a place,</w:t>
      </w:r>
      <w:r w:rsidR="00C74D9C">
        <w:rPr>
          <w:rFonts w:cstheme="minorHAnsi"/>
          <w:sz w:val="24"/>
          <w:szCs w:val="24"/>
        </w:rPr>
        <w:t xml:space="preserve"> </w:t>
      </w:r>
      <w:r w:rsidRPr="00A8708B">
        <w:rPr>
          <w:rFonts w:cstheme="minorHAnsi"/>
          <w:sz w:val="24"/>
          <w:szCs w:val="24"/>
        </w:rPr>
        <w:t xml:space="preserve">but research demonstrates that it is not the </w:t>
      </w:r>
      <w:r w:rsidR="00A8708B" w:rsidRPr="00A8708B">
        <w:rPr>
          <w:rFonts w:cstheme="minorHAnsi"/>
          <w:sz w:val="24"/>
          <w:szCs w:val="24"/>
        </w:rPr>
        <w:t>only</w:t>
      </w:r>
      <w:r w:rsidR="00C74D9C">
        <w:rPr>
          <w:rFonts w:cstheme="minorHAnsi"/>
          <w:sz w:val="24"/>
          <w:szCs w:val="24"/>
        </w:rPr>
        <w:t xml:space="preserve"> approach needed for effective support of early reading, particularly for children with special education</w:t>
      </w:r>
      <w:r w:rsidR="00572A9A">
        <w:rPr>
          <w:rFonts w:cstheme="minorHAnsi"/>
          <w:sz w:val="24"/>
          <w:szCs w:val="24"/>
        </w:rPr>
        <w:t xml:space="preserve">al needs, or those in the early stages of learning English, where more than half of our most commonly used words are not phonically predictable. </w:t>
      </w:r>
      <w:r w:rsidRPr="00213486">
        <w:rPr>
          <w:rFonts w:cstheme="minorHAnsi"/>
          <w:sz w:val="24"/>
          <w:szCs w:val="24"/>
        </w:rPr>
        <w:t xml:space="preserve"> </w:t>
      </w:r>
      <w:r w:rsidR="00572A9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his</w:t>
      </w:r>
      <w:r w:rsidRPr="00213486">
        <w:rPr>
          <w:rFonts w:cstheme="minorHAnsi"/>
          <w:sz w:val="24"/>
          <w:szCs w:val="24"/>
        </w:rPr>
        <w:t xml:space="preserve"> level of intervention in what is essentially a matter for professional judgement </w:t>
      </w:r>
      <w:r w:rsidR="00572A9A">
        <w:rPr>
          <w:rFonts w:cstheme="minorHAnsi"/>
          <w:sz w:val="24"/>
          <w:szCs w:val="24"/>
        </w:rPr>
        <w:t xml:space="preserve">is an unprecedented exercise </w:t>
      </w:r>
      <w:r w:rsidRPr="00213486">
        <w:rPr>
          <w:rFonts w:cstheme="minorHAnsi"/>
          <w:sz w:val="24"/>
          <w:szCs w:val="24"/>
        </w:rPr>
        <w:t>of state control</w:t>
      </w:r>
      <w:r w:rsidR="00B00822">
        <w:rPr>
          <w:rFonts w:cstheme="minorHAnsi"/>
          <w:sz w:val="24"/>
          <w:szCs w:val="24"/>
        </w:rPr>
        <w:t xml:space="preserve"> over the process of teaching.</w:t>
      </w:r>
    </w:p>
    <w:p w14:paraId="37EE6679" w14:textId="4FDDFC4F" w:rsidR="00572A9A" w:rsidRPr="00B00822" w:rsidRDefault="00572A9A" w:rsidP="00213486">
      <w:pPr>
        <w:spacing w:after="0" w:line="276" w:lineRule="auto"/>
        <w:ind w:left="57" w:right="57"/>
        <w:rPr>
          <w:rFonts w:cstheme="minorHAnsi"/>
          <w:sz w:val="24"/>
          <w:szCs w:val="24"/>
        </w:rPr>
      </w:pPr>
    </w:p>
    <w:p w14:paraId="3A1765BA" w14:textId="77777777" w:rsidR="00572A9A" w:rsidRPr="00B00822" w:rsidRDefault="00572A9A" w:rsidP="00572A9A">
      <w:pPr>
        <w:pStyle w:val="NormalWeb"/>
        <w:shd w:val="clear" w:color="auto" w:fill="FFFFFF"/>
        <w:spacing w:after="288"/>
        <w:rPr>
          <w:rFonts w:asciiTheme="minorHAnsi" w:hAnsiTheme="minorHAnsi" w:cstheme="minorHAnsi"/>
        </w:rPr>
      </w:pPr>
      <w:r w:rsidRPr="00B00822">
        <w:rPr>
          <w:rFonts w:asciiTheme="minorHAnsi" w:hAnsiTheme="minorHAnsi" w:cstheme="minorHAnsi"/>
        </w:rPr>
        <w:t xml:space="preserve">In their most recent advice, The Education Endowment Foundation has stated clearly: </w:t>
      </w:r>
    </w:p>
    <w:p w14:paraId="2EA66817" w14:textId="77777777" w:rsidR="00572A9A" w:rsidRPr="00B00822" w:rsidRDefault="00572A9A" w:rsidP="00572A9A">
      <w:pPr>
        <w:pStyle w:val="NormalWeb"/>
        <w:shd w:val="clear" w:color="auto" w:fill="FFFFFF"/>
        <w:spacing w:after="288"/>
        <w:rPr>
          <w:rFonts w:asciiTheme="minorHAnsi" w:eastAsia="Times New Roman" w:hAnsiTheme="minorHAnsi" w:cstheme="minorHAnsi"/>
          <w:i/>
          <w:iCs/>
          <w:lang w:eastAsia="en-GB"/>
        </w:rPr>
      </w:pPr>
      <w:r w:rsidRPr="00B00822">
        <w:rPr>
          <w:rFonts w:asciiTheme="minorHAnsi" w:hAnsiTheme="minorHAnsi" w:cstheme="minorHAnsi"/>
        </w:rPr>
        <w:t>“</w:t>
      </w:r>
      <w:r w:rsidRPr="00B00822">
        <w:rPr>
          <w:rFonts w:asciiTheme="minorHAnsi" w:eastAsia="Times New Roman" w:hAnsiTheme="minorHAnsi" w:cstheme="minorHAnsi"/>
          <w:i/>
          <w:iCs/>
          <w:lang w:eastAsia="en-GB"/>
        </w:rPr>
        <w:t>Learning to read is a highly complex undertaking that is underpinned by two fundamental processes:</w:t>
      </w:r>
    </w:p>
    <w:p w14:paraId="40F3F3D3" w14:textId="77777777" w:rsidR="00572A9A" w:rsidRPr="00B00822" w:rsidRDefault="00572A9A" w:rsidP="0057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B00822">
        <w:rPr>
          <w:rFonts w:eastAsia="Times New Roman" w:cstheme="minorHAnsi"/>
          <w:i/>
          <w:iCs/>
          <w:sz w:val="24"/>
          <w:szCs w:val="24"/>
          <w:lang w:eastAsia="en-GB"/>
        </w:rPr>
        <w:t>word reading through the recognition and decoding of words, and</w:t>
      </w:r>
    </w:p>
    <w:p w14:paraId="69DDCBB4" w14:textId="3C35A9FC" w:rsidR="00572A9A" w:rsidRPr="00B00822" w:rsidRDefault="00572A9A" w:rsidP="0057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B00822">
        <w:rPr>
          <w:rFonts w:eastAsia="Times New Roman" w:cstheme="minorHAnsi"/>
          <w:i/>
          <w:iCs/>
          <w:sz w:val="24"/>
          <w:szCs w:val="24"/>
          <w:lang w:eastAsia="en-GB"/>
        </w:rPr>
        <w:t>comprehension of texts through a range of knowledge and skil</w:t>
      </w:r>
      <w:r w:rsidR="00B00822" w:rsidRPr="00B00822">
        <w:rPr>
          <w:rFonts w:eastAsia="Times New Roman" w:cstheme="minorHAnsi"/>
          <w:i/>
          <w:iCs/>
          <w:sz w:val="24"/>
          <w:szCs w:val="24"/>
          <w:lang w:eastAsia="en-GB"/>
        </w:rPr>
        <w:t>l</w:t>
      </w:r>
      <w:r w:rsidRPr="00B00822">
        <w:rPr>
          <w:rFonts w:eastAsia="Times New Roman" w:cstheme="minorHAnsi"/>
          <w:i/>
          <w:iCs/>
          <w:sz w:val="24"/>
          <w:szCs w:val="24"/>
          <w:lang w:eastAsia="en-GB"/>
        </w:rPr>
        <w:t>s.”</w:t>
      </w:r>
    </w:p>
    <w:p w14:paraId="7CDCA15D" w14:textId="77777777" w:rsidR="00572A9A" w:rsidRPr="00B00822" w:rsidRDefault="00572A9A" w:rsidP="00572A9A">
      <w:pPr>
        <w:spacing w:after="0" w:line="276" w:lineRule="auto"/>
        <w:ind w:left="57" w:right="57"/>
        <w:rPr>
          <w:rFonts w:eastAsia="Times New Roman" w:cstheme="minorHAnsi"/>
          <w:i/>
          <w:iCs/>
          <w:color w:val="2A3A41"/>
          <w:sz w:val="24"/>
          <w:szCs w:val="24"/>
        </w:rPr>
      </w:pPr>
      <w:r w:rsidRPr="00B00822">
        <w:rPr>
          <w:rFonts w:eastAsia="Times New Roman" w:cstheme="minorHAnsi"/>
          <w:sz w:val="24"/>
          <w:szCs w:val="24"/>
        </w:rPr>
        <w:t>As they say:</w:t>
      </w:r>
      <w:r w:rsidRPr="00B00822">
        <w:rPr>
          <w:rFonts w:eastAsia="Times New Roman" w:cstheme="minorHAnsi"/>
          <w:b/>
          <w:bCs/>
          <w:i/>
          <w:iCs/>
          <w:sz w:val="24"/>
          <w:szCs w:val="24"/>
        </w:rPr>
        <w:t xml:space="preserve"> “Helping children learn to read [...] requires multiple teaching approaches to appeal to the discrete but interconnected facets of one of life’s most essential skills</w:t>
      </w:r>
      <w:r w:rsidRPr="00B00822">
        <w:rPr>
          <w:rFonts w:eastAsia="Times New Roman" w:cstheme="minorHAnsi"/>
          <w:b/>
          <w:bCs/>
          <w:i/>
          <w:iCs/>
          <w:color w:val="2A3A41"/>
          <w:sz w:val="24"/>
          <w:szCs w:val="24"/>
        </w:rPr>
        <w:t>.”</w:t>
      </w:r>
    </w:p>
    <w:p w14:paraId="372758FC" w14:textId="77777777" w:rsidR="00572A9A" w:rsidRPr="00B00822" w:rsidRDefault="006E7A87" w:rsidP="00572A9A">
      <w:pPr>
        <w:spacing w:after="0" w:line="276" w:lineRule="auto"/>
        <w:ind w:left="57" w:right="57"/>
        <w:rPr>
          <w:rFonts w:cstheme="minorHAnsi"/>
          <w:color w:val="FF0000"/>
          <w:sz w:val="24"/>
          <w:szCs w:val="24"/>
        </w:rPr>
      </w:pPr>
      <w:hyperlink r:id="rId6" w:history="1">
        <w:r w:rsidR="00572A9A" w:rsidRPr="00B00822">
          <w:rPr>
            <w:rStyle w:val="Hyperlink"/>
            <w:rFonts w:cstheme="minorHAnsi"/>
            <w:sz w:val="24"/>
            <w:szCs w:val="24"/>
          </w:rPr>
          <w:t>https://educationendowmentfoundation.org.uk/news/phonics-mastering-the-basics-of-reading/?mc_cid=849f6b05fa&amp;mc_eid=87f236e212</w:t>
        </w:r>
      </w:hyperlink>
    </w:p>
    <w:p w14:paraId="2A155503" w14:textId="77777777" w:rsidR="00213486" w:rsidRPr="00213486" w:rsidRDefault="00213486" w:rsidP="00572A9A">
      <w:pPr>
        <w:spacing w:after="0" w:line="276" w:lineRule="auto"/>
        <w:ind w:right="57"/>
        <w:rPr>
          <w:rFonts w:cstheme="minorHAnsi"/>
          <w:sz w:val="24"/>
          <w:szCs w:val="24"/>
        </w:rPr>
      </w:pPr>
    </w:p>
    <w:p w14:paraId="1F50FA43" w14:textId="42257AF6" w:rsidR="00D6176C" w:rsidRDefault="00C74D9C" w:rsidP="00213486">
      <w:pPr>
        <w:spacing w:after="0" w:line="276" w:lineRule="auto"/>
        <w:ind w:left="57" w:right="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proposals to overhaul provision and to introduce a new accreditation process at this very demanding time are not helpful, and indeed are likely to be counter-productive.  However, t</w:t>
      </w:r>
      <w:r w:rsidR="00213486" w:rsidRPr="00213486">
        <w:rPr>
          <w:rFonts w:cstheme="minorHAnsi"/>
          <w:sz w:val="24"/>
          <w:szCs w:val="24"/>
        </w:rPr>
        <w:t xml:space="preserve">he </w:t>
      </w:r>
      <w:r w:rsidR="000C06AB">
        <w:rPr>
          <w:rFonts w:cstheme="minorHAnsi"/>
          <w:sz w:val="24"/>
          <w:szCs w:val="24"/>
        </w:rPr>
        <w:t>intention</w:t>
      </w:r>
      <w:r w:rsidR="00213486" w:rsidRPr="00213486">
        <w:rPr>
          <w:rFonts w:cstheme="minorHAnsi"/>
          <w:sz w:val="24"/>
          <w:szCs w:val="24"/>
        </w:rPr>
        <w:t xml:space="preserve"> to </w:t>
      </w:r>
      <w:r w:rsidR="000C06AB">
        <w:rPr>
          <w:rFonts w:cstheme="minorHAnsi"/>
          <w:sz w:val="24"/>
          <w:szCs w:val="24"/>
        </w:rPr>
        <w:t>strengthen</w:t>
      </w:r>
      <w:r w:rsidR="00213486" w:rsidRPr="00213486">
        <w:rPr>
          <w:rFonts w:cstheme="minorHAnsi"/>
          <w:sz w:val="24"/>
          <w:szCs w:val="24"/>
        </w:rPr>
        <w:t xml:space="preserve"> the role of the mentor in initial teacher education </w:t>
      </w:r>
      <w:r w:rsidR="000C06AB">
        <w:rPr>
          <w:rFonts w:cstheme="minorHAnsi"/>
          <w:sz w:val="24"/>
          <w:szCs w:val="24"/>
        </w:rPr>
        <w:t xml:space="preserve">is welcome, as is the encouragement for </w:t>
      </w:r>
      <w:r>
        <w:rPr>
          <w:rFonts w:cstheme="minorHAnsi"/>
          <w:sz w:val="24"/>
          <w:szCs w:val="24"/>
        </w:rPr>
        <w:t>schools and settings</w:t>
      </w:r>
      <w:r w:rsidR="00213486" w:rsidRPr="00213486">
        <w:rPr>
          <w:rFonts w:cstheme="minorHAnsi"/>
          <w:sz w:val="24"/>
          <w:szCs w:val="24"/>
        </w:rPr>
        <w:t xml:space="preserve"> to t</w:t>
      </w:r>
      <w:r w:rsidR="000C06AB">
        <w:rPr>
          <w:rFonts w:cstheme="minorHAnsi"/>
          <w:sz w:val="24"/>
          <w:szCs w:val="24"/>
        </w:rPr>
        <w:t xml:space="preserve">hink seriously about </w:t>
      </w:r>
      <w:r w:rsidR="00213486" w:rsidRPr="00213486">
        <w:rPr>
          <w:rFonts w:cstheme="minorHAnsi"/>
          <w:sz w:val="24"/>
          <w:szCs w:val="24"/>
        </w:rPr>
        <w:t xml:space="preserve">their responsibilities in the provision of placements and to work alongside HEIs and other </w:t>
      </w:r>
      <w:r w:rsidR="000C06AB">
        <w:rPr>
          <w:rFonts w:cstheme="minorHAnsi"/>
          <w:sz w:val="24"/>
          <w:szCs w:val="24"/>
        </w:rPr>
        <w:t xml:space="preserve">training </w:t>
      </w:r>
      <w:r w:rsidR="00213486" w:rsidRPr="00213486">
        <w:rPr>
          <w:rFonts w:cstheme="minorHAnsi"/>
          <w:sz w:val="24"/>
          <w:szCs w:val="24"/>
        </w:rPr>
        <w:t xml:space="preserve">providers. </w:t>
      </w:r>
      <w:r w:rsidR="000C06AB">
        <w:rPr>
          <w:rFonts w:cstheme="minorHAnsi"/>
          <w:sz w:val="24"/>
          <w:szCs w:val="24"/>
        </w:rPr>
        <w:t xml:space="preserve"> The </w:t>
      </w:r>
      <w:r w:rsidR="00213486">
        <w:rPr>
          <w:rFonts w:cstheme="minorHAnsi"/>
          <w:sz w:val="24"/>
          <w:szCs w:val="24"/>
        </w:rPr>
        <w:t xml:space="preserve">commitment to an </w:t>
      </w:r>
      <w:r w:rsidR="00213486" w:rsidRPr="00C74D9C">
        <w:rPr>
          <w:rFonts w:cstheme="minorHAnsi"/>
          <w:sz w:val="24"/>
          <w:szCs w:val="24"/>
        </w:rPr>
        <w:t xml:space="preserve">evidence-based trainee curriculum </w:t>
      </w:r>
      <w:r w:rsidRPr="00C74D9C">
        <w:rPr>
          <w:rFonts w:cstheme="minorHAnsi"/>
          <w:sz w:val="24"/>
          <w:szCs w:val="24"/>
        </w:rPr>
        <w:t>is welcome</w:t>
      </w:r>
      <w:r w:rsidR="00213486" w:rsidRPr="00C74D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provided the full range of evidence is </w:t>
      </w:r>
      <w:proofErr w:type="gramStart"/>
      <w:r>
        <w:rPr>
          <w:rFonts w:cstheme="minorHAnsi"/>
          <w:sz w:val="24"/>
          <w:szCs w:val="24"/>
        </w:rPr>
        <w:t>taken into account</w:t>
      </w:r>
      <w:proofErr w:type="gramEnd"/>
      <w:r>
        <w:rPr>
          <w:rFonts w:cstheme="minorHAnsi"/>
          <w:sz w:val="24"/>
          <w:szCs w:val="24"/>
        </w:rPr>
        <w:t xml:space="preserve">, </w:t>
      </w:r>
      <w:r w:rsidR="00213486" w:rsidRPr="00C74D9C">
        <w:rPr>
          <w:rFonts w:cstheme="minorHAnsi"/>
          <w:sz w:val="24"/>
          <w:szCs w:val="24"/>
        </w:rPr>
        <w:t xml:space="preserve">and we </w:t>
      </w:r>
      <w:r w:rsidRPr="00C74D9C">
        <w:rPr>
          <w:rFonts w:cstheme="minorHAnsi"/>
          <w:sz w:val="24"/>
          <w:szCs w:val="24"/>
        </w:rPr>
        <w:t xml:space="preserve">strongly </w:t>
      </w:r>
      <w:r w:rsidR="00213486" w:rsidRPr="00C74D9C">
        <w:rPr>
          <w:rFonts w:cstheme="minorHAnsi"/>
          <w:sz w:val="24"/>
          <w:szCs w:val="24"/>
        </w:rPr>
        <w:t>agree that educational disadvantage</w:t>
      </w:r>
      <w:r w:rsidR="00213486">
        <w:rPr>
          <w:rFonts w:cstheme="minorHAnsi"/>
          <w:sz w:val="24"/>
          <w:szCs w:val="24"/>
        </w:rPr>
        <w:t xml:space="preserve"> must be an area of priority in initial and continuing professional development. </w:t>
      </w:r>
      <w:r>
        <w:rPr>
          <w:rFonts w:cstheme="minorHAnsi"/>
          <w:sz w:val="24"/>
          <w:szCs w:val="24"/>
        </w:rPr>
        <w:t xml:space="preserve"> </w:t>
      </w:r>
    </w:p>
    <w:p w14:paraId="434AF814" w14:textId="2E1BF7DA" w:rsidR="00213486" w:rsidRDefault="00213486" w:rsidP="00213486">
      <w:pPr>
        <w:spacing w:after="0" w:line="276" w:lineRule="auto"/>
        <w:ind w:left="57" w:right="57"/>
        <w:rPr>
          <w:rFonts w:cstheme="minorHAnsi"/>
          <w:b/>
          <w:bCs/>
          <w:sz w:val="24"/>
          <w:szCs w:val="24"/>
        </w:rPr>
      </w:pPr>
    </w:p>
    <w:p w14:paraId="01AD9E6F" w14:textId="77777777" w:rsidR="006E7A87" w:rsidRDefault="006E7A87" w:rsidP="006E7A87">
      <w:pPr>
        <w:spacing w:after="0" w:line="276" w:lineRule="auto"/>
        <w:ind w:right="57"/>
      </w:pPr>
      <w:r>
        <w:t>Wendy Scott OBE</w:t>
      </w:r>
    </w:p>
    <w:p w14:paraId="7CA3A7B7" w14:textId="77777777" w:rsidR="006E7A87" w:rsidRDefault="006E7A87" w:rsidP="006E7A87">
      <w:pPr>
        <w:spacing w:after="0" w:line="276" w:lineRule="auto"/>
        <w:ind w:right="57"/>
      </w:pPr>
      <w:r>
        <w:t>President, TACTYC</w:t>
      </w:r>
    </w:p>
    <w:p w14:paraId="0E0646F8" w14:textId="77777777" w:rsidR="00213486" w:rsidRDefault="00213486" w:rsidP="006E7A87">
      <w:pPr>
        <w:spacing w:after="0" w:line="276" w:lineRule="auto"/>
        <w:ind w:right="57"/>
      </w:pPr>
    </w:p>
    <w:sectPr w:rsidR="00213486" w:rsidSect="00363C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D0BB6"/>
    <w:multiLevelType w:val="multilevel"/>
    <w:tmpl w:val="CAF2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3B"/>
    <w:rsid w:val="00057532"/>
    <w:rsid w:val="000C06AB"/>
    <w:rsid w:val="00124871"/>
    <w:rsid w:val="00135300"/>
    <w:rsid w:val="00196750"/>
    <w:rsid w:val="00213486"/>
    <w:rsid w:val="002A657F"/>
    <w:rsid w:val="00363C52"/>
    <w:rsid w:val="00386394"/>
    <w:rsid w:val="003A5446"/>
    <w:rsid w:val="00445E2B"/>
    <w:rsid w:val="00572A9A"/>
    <w:rsid w:val="0059377D"/>
    <w:rsid w:val="006E7A87"/>
    <w:rsid w:val="00785A6A"/>
    <w:rsid w:val="007C17B5"/>
    <w:rsid w:val="008A423B"/>
    <w:rsid w:val="009B1695"/>
    <w:rsid w:val="009D7ABC"/>
    <w:rsid w:val="00A8708B"/>
    <w:rsid w:val="00AE2098"/>
    <w:rsid w:val="00B00822"/>
    <w:rsid w:val="00BE736D"/>
    <w:rsid w:val="00C37F3F"/>
    <w:rsid w:val="00C74D9C"/>
    <w:rsid w:val="00CE3CD8"/>
    <w:rsid w:val="00D6176C"/>
    <w:rsid w:val="00E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6FCD"/>
  <w15:chartTrackingRefBased/>
  <w15:docId w15:val="{FE8FC987-4F6C-6E49-A16E-C02FF7C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3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23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785A6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E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endowmentfoundation.org.uk/news/phonics-mastering-the-basics-of-reading/?mc_cid=849f6b05fa&amp;mc_eid=87f236e212" TargetMode="External"/><Relationship Id="rId5" Type="http://schemas.openxmlformats.org/officeDocument/2006/relationships/hyperlink" Target="https://consult.education.gov.uk/itt-policy-unit/initial-teacher-training-itt-market-review-recomme/consultation/subpage.2021-06-03.45505108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Karen Boardman</cp:lastModifiedBy>
  <cp:revision>2</cp:revision>
  <dcterms:created xsi:type="dcterms:W3CDTF">2021-08-18T12:50:00Z</dcterms:created>
  <dcterms:modified xsi:type="dcterms:W3CDTF">2021-08-18T12:50:00Z</dcterms:modified>
</cp:coreProperties>
</file>